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090D" w14:textId="339C361F" w:rsidR="003A63BF" w:rsidRPr="000028B6" w:rsidRDefault="003A63BF" w:rsidP="000028B6">
      <w:pPr>
        <w:spacing w:line="480" w:lineRule="auto"/>
        <w:rPr>
          <w:rFonts w:ascii="Times New Roman" w:hAnsi="Times New Roman" w:cs="Times New Roman"/>
          <w:b/>
          <w:bCs/>
          <w:noProof w:val="0"/>
          <w:color w:val="000000" w:themeColor="text1"/>
          <w:sz w:val="24"/>
          <w:szCs w:val="24"/>
          <w:lang w:val="en-US"/>
        </w:rPr>
      </w:pPr>
      <w:r w:rsidRPr="000028B6">
        <w:rPr>
          <w:rFonts w:ascii="Times New Roman" w:hAnsi="Times New Roman" w:cs="Times New Roman"/>
          <w:b/>
          <w:bCs/>
          <w:noProof w:val="0"/>
          <w:sz w:val="24"/>
          <w:szCs w:val="24"/>
          <w:lang w:val="en-US"/>
        </w:rPr>
        <w:t xml:space="preserve">Management of SARS-CoV-2 infection: recommendations of the Polish Association of Epidemiologists and Infectiologists as </w:t>
      </w:r>
      <w:r w:rsidRPr="000028B6">
        <w:rPr>
          <w:rFonts w:ascii="Times New Roman" w:hAnsi="Times New Roman" w:cs="Times New Roman"/>
          <w:b/>
          <w:bCs/>
          <w:noProof w:val="0"/>
          <w:color w:val="000000" w:themeColor="text1"/>
          <w:sz w:val="24"/>
          <w:szCs w:val="24"/>
          <w:lang w:val="en-US"/>
        </w:rPr>
        <w:t xml:space="preserve">of </w:t>
      </w:r>
      <w:r w:rsidR="005E54E5" w:rsidRPr="000028B6">
        <w:rPr>
          <w:rFonts w:ascii="Times New Roman" w:hAnsi="Times New Roman" w:cs="Times New Roman"/>
          <w:b/>
          <w:bCs/>
          <w:noProof w:val="0"/>
          <w:color w:val="000000" w:themeColor="text1"/>
          <w:sz w:val="24"/>
          <w:szCs w:val="24"/>
          <w:lang w:val="en-US"/>
        </w:rPr>
        <w:t>A</w:t>
      </w:r>
      <w:r w:rsidR="002B1129" w:rsidRPr="000028B6">
        <w:rPr>
          <w:rFonts w:ascii="Times New Roman" w:hAnsi="Times New Roman" w:cs="Times New Roman"/>
          <w:b/>
          <w:bCs/>
          <w:noProof w:val="0"/>
          <w:color w:val="000000" w:themeColor="text1"/>
          <w:sz w:val="24"/>
          <w:szCs w:val="24"/>
          <w:lang w:val="en-US"/>
        </w:rPr>
        <w:t xml:space="preserve">pril </w:t>
      </w:r>
      <w:r w:rsidR="009038EB">
        <w:rPr>
          <w:rFonts w:ascii="Times New Roman" w:hAnsi="Times New Roman" w:cs="Times New Roman"/>
          <w:b/>
          <w:bCs/>
          <w:noProof w:val="0"/>
          <w:color w:val="000000" w:themeColor="text1"/>
          <w:sz w:val="24"/>
          <w:szCs w:val="24"/>
          <w:lang w:val="en-US"/>
        </w:rPr>
        <w:t>2</w:t>
      </w:r>
      <w:r w:rsidR="00837CAF" w:rsidRPr="000028B6">
        <w:rPr>
          <w:rFonts w:ascii="Times New Roman" w:hAnsi="Times New Roman" w:cs="Times New Roman"/>
          <w:b/>
          <w:bCs/>
          <w:noProof w:val="0"/>
          <w:color w:val="000000" w:themeColor="text1"/>
          <w:sz w:val="24"/>
          <w:szCs w:val="24"/>
          <w:lang w:val="en-US"/>
        </w:rPr>
        <w:t>6</w:t>
      </w:r>
      <w:r w:rsidRPr="000028B6">
        <w:rPr>
          <w:rFonts w:ascii="Times New Roman" w:hAnsi="Times New Roman" w:cs="Times New Roman"/>
          <w:b/>
          <w:bCs/>
          <w:noProof w:val="0"/>
          <w:color w:val="000000" w:themeColor="text1"/>
          <w:sz w:val="24"/>
          <w:szCs w:val="24"/>
          <w:lang w:val="en-US"/>
        </w:rPr>
        <w:t xml:space="preserve">, 2021 </w:t>
      </w:r>
    </w:p>
    <w:p w14:paraId="44A7EE09" w14:textId="699331CB" w:rsidR="00B11175" w:rsidRPr="000028B6" w:rsidRDefault="00DC215A" w:rsidP="000028B6">
      <w:pPr>
        <w:spacing w:line="480" w:lineRule="auto"/>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Robert Flisiak</w:t>
      </w:r>
      <w:r w:rsidR="002B1129" w:rsidRPr="000028B6">
        <w:rPr>
          <w:rFonts w:ascii="Times New Roman" w:hAnsi="Times New Roman" w:cs="Times New Roman"/>
          <w:noProof w:val="0"/>
          <w:color w:val="000000" w:themeColor="text1"/>
          <w:sz w:val="24"/>
          <w:szCs w:val="24"/>
          <w:vertAlign w:val="superscript"/>
          <w:lang w:val="en-US"/>
        </w:rPr>
        <w:t>1</w:t>
      </w:r>
      <w:r w:rsidRPr="000028B6">
        <w:rPr>
          <w:rFonts w:ascii="Times New Roman" w:hAnsi="Times New Roman" w:cs="Times New Roman"/>
          <w:noProof w:val="0"/>
          <w:color w:val="000000" w:themeColor="text1"/>
          <w:sz w:val="24"/>
          <w:szCs w:val="24"/>
          <w:lang w:val="en-US"/>
        </w:rPr>
        <w:t>, Andrzej Horban</w:t>
      </w:r>
      <w:r w:rsidR="005E2134" w:rsidRPr="000028B6">
        <w:rPr>
          <w:rFonts w:ascii="Times New Roman" w:hAnsi="Times New Roman" w:cs="Times New Roman"/>
          <w:noProof w:val="0"/>
          <w:color w:val="000000" w:themeColor="text1"/>
          <w:sz w:val="24"/>
          <w:szCs w:val="24"/>
          <w:vertAlign w:val="superscript"/>
          <w:lang w:val="en-US"/>
        </w:rPr>
        <w:t>2</w:t>
      </w:r>
      <w:r w:rsidR="00AC3028" w:rsidRPr="000028B6">
        <w:rPr>
          <w:rFonts w:ascii="Times New Roman" w:hAnsi="Times New Roman" w:cs="Times New Roman"/>
          <w:noProof w:val="0"/>
          <w:color w:val="000000" w:themeColor="text1"/>
          <w:sz w:val="24"/>
          <w:szCs w:val="24"/>
          <w:vertAlign w:val="superscript"/>
          <w:lang w:val="en-US"/>
        </w:rPr>
        <w:t>,3</w:t>
      </w:r>
      <w:r w:rsidRPr="000028B6">
        <w:rPr>
          <w:rFonts w:ascii="Times New Roman" w:hAnsi="Times New Roman" w:cs="Times New Roman"/>
          <w:noProof w:val="0"/>
          <w:color w:val="000000" w:themeColor="text1"/>
          <w:sz w:val="24"/>
          <w:szCs w:val="24"/>
          <w:lang w:val="en-US"/>
        </w:rPr>
        <w:t>, Jerzy Jaroszewicz</w:t>
      </w:r>
      <w:r w:rsidR="00AC3028" w:rsidRPr="000028B6">
        <w:rPr>
          <w:rFonts w:ascii="Times New Roman" w:hAnsi="Times New Roman" w:cs="Times New Roman"/>
          <w:noProof w:val="0"/>
          <w:color w:val="000000" w:themeColor="text1"/>
          <w:sz w:val="24"/>
          <w:szCs w:val="24"/>
          <w:vertAlign w:val="superscript"/>
          <w:lang w:val="en-US"/>
        </w:rPr>
        <w:t>4</w:t>
      </w:r>
      <w:r w:rsidRPr="000028B6">
        <w:rPr>
          <w:rFonts w:ascii="Times New Roman" w:hAnsi="Times New Roman" w:cs="Times New Roman"/>
          <w:noProof w:val="0"/>
          <w:color w:val="000000" w:themeColor="text1"/>
          <w:sz w:val="24"/>
          <w:szCs w:val="24"/>
          <w:lang w:val="en-US"/>
        </w:rPr>
        <w:t>, Dorota Kozielewicz</w:t>
      </w:r>
      <w:r w:rsidR="00AC3028" w:rsidRPr="000028B6">
        <w:rPr>
          <w:rFonts w:ascii="Times New Roman" w:hAnsi="Times New Roman" w:cs="Times New Roman"/>
          <w:noProof w:val="0"/>
          <w:color w:val="000000" w:themeColor="text1"/>
          <w:sz w:val="24"/>
          <w:szCs w:val="24"/>
          <w:vertAlign w:val="superscript"/>
          <w:lang w:val="en-US"/>
        </w:rPr>
        <w:t>5</w:t>
      </w:r>
      <w:r w:rsidRPr="000028B6">
        <w:rPr>
          <w:rFonts w:ascii="Times New Roman" w:hAnsi="Times New Roman" w:cs="Times New Roman"/>
          <w:noProof w:val="0"/>
          <w:color w:val="000000" w:themeColor="text1"/>
          <w:sz w:val="24"/>
          <w:szCs w:val="24"/>
          <w:lang w:val="en-US"/>
        </w:rPr>
        <w:t xml:space="preserve">, </w:t>
      </w:r>
      <w:r w:rsidR="005A74E2" w:rsidRPr="000028B6">
        <w:rPr>
          <w:rFonts w:ascii="Times New Roman" w:hAnsi="Times New Roman" w:cs="Times New Roman"/>
          <w:noProof w:val="0"/>
          <w:color w:val="000000" w:themeColor="text1"/>
          <w:sz w:val="24"/>
          <w:szCs w:val="24"/>
          <w:lang w:val="en-US"/>
        </w:rPr>
        <w:t>Agnieszka Mastalerz-Migas</w:t>
      </w:r>
      <w:r w:rsidR="00AC3028" w:rsidRPr="000028B6">
        <w:rPr>
          <w:rFonts w:ascii="Times New Roman" w:hAnsi="Times New Roman" w:cs="Times New Roman"/>
          <w:noProof w:val="0"/>
          <w:color w:val="000000" w:themeColor="text1"/>
          <w:sz w:val="24"/>
          <w:szCs w:val="24"/>
          <w:vertAlign w:val="superscript"/>
          <w:lang w:val="en-US"/>
        </w:rPr>
        <w:t>6</w:t>
      </w:r>
      <w:r w:rsidR="005A74E2" w:rsidRPr="000028B6">
        <w:rPr>
          <w:rFonts w:ascii="Times New Roman" w:hAnsi="Times New Roman" w:cs="Times New Roman"/>
          <w:noProof w:val="0"/>
          <w:color w:val="000000" w:themeColor="text1"/>
          <w:sz w:val="24"/>
          <w:szCs w:val="24"/>
          <w:lang w:val="en-US"/>
        </w:rPr>
        <w:t>, Radosław Owczuk</w:t>
      </w:r>
      <w:r w:rsidR="00AC3028" w:rsidRPr="000028B6">
        <w:rPr>
          <w:rFonts w:ascii="Times New Roman" w:hAnsi="Times New Roman" w:cs="Times New Roman"/>
          <w:noProof w:val="0"/>
          <w:color w:val="000000" w:themeColor="text1"/>
          <w:sz w:val="24"/>
          <w:szCs w:val="24"/>
          <w:vertAlign w:val="superscript"/>
          <w:lang w:val="en-US"/>
        </w:rPr>
        <w:t>7</w:t>
      </w:r>
      <w:r w:rsidR="00CC4182" w:rsidRPr="000028B6">
        <w:rPr>
          <w:rFonts w:ascii="Times New Roman" w:hAnsi="Times New Roman" w:cs="Times New Roman"/>
          <w:noProof w:val="0"/>
          <w:color w:val="000000" w:themeColor="text1"/>
          <w:sz w:val="24"/>
          <w:szCs w:val="24"/>
          <w:lang w:val="en-US"/>
        </w:rPr>
        <w:t>, Miłosz Parczewski</w:t>
      </w:r>
      <w:r w:rsidR="00AC3028" w:rsidRPr="000028B6">
        <w:rPr>
          <w:rFonts w:ascii="Times New Roman" w:hAnsi="Times New Roman" w:cs="Times New Roman"/>
          <w:noProof w:val="0"/>
          <w:color w:val="000000" w:themeColor="text1"/>
          <w:sz w:val="24"/>
          <w:szCs w:val="24"/>
          <w:vertAlign w:val="superscript"/>
          <w:lang w:val="en-US"/>
        </w:rPr>
        <w:t>8</w:t>
      </w:r>
      <w:r w:rsidR="005A74E2" w:rsidRPr="000028B6">
        <w:rPr>
          <w:rFonts w:ascii="Times New Roman" w:hAnsi="Times New Roman" w:cs="Times New Roman"/>
          <w:noProof w:val="0"/>
          <w:color w:val="000000" w:themeColor="text1"/>
          <w:sz w:val="24"/>
          <w:szCs w:val="24"/>
          <w:lang w:val="en-US"/>
        </w:rPr>
        <w:t xml:space="preserve">, </w:t>
      </w:r>
      <w:r w:rsidRPr="000028B6">
        <w:rPr>
          <w:rFonts w:ascii="Times New Roman" w:hAnsi="Times New Roman" w:cs="Times New Roman"/>
          <w:noProof w:val="0"/>
          <w:color w:val="000000" w:themeColor="text1"/>
          <w:sz w:val="24"/>
          <w:szCs w:val="24"/>
          <w:lang w:val="en-US"/>
        </w:rPr>
        <w:t>Małgorzata Pawłowska</w:t>
      </w:r>
      <w:r w:rsidR="00AC3028" w:rsidRPr="000028B6">
        <w:rPr>
          <w:rFonts w:ascii="Times New Roman" w:hAnsi="Times New Roman" w:cs="Times New Roman"/>
          <w:noProof w:val="0"/>
          <w:color w:val="000000" w:themeColor="text1"/>
          <w:sz w:val="24"/>
          <w:szCs w:val="24"/>
          <w:vertAlign w:val="superscript"/>
          <w:lang w:val="en-US"/>
        </w:rPr>
        <w:t>5</w:t>
      </w:r>
      <w:r w:rsidRPr="000028B6">
        <w:rPr>
          <w:rFonts w:ascii="Times New Roman" w:hAnsi="Times New Roman" w:cs="Times New Roman"/>
          <w:noProof w:val="0"/>
          <w:color w:val="000000" w:themeColor="text1"/>
          <w:sz w:val="24"/>
          <w:szCs w:val="24"/>
          <w:lang w:val="en-US"/>
        </w:rPr>
        <w:t>, Anna Piekarska</w:t>
      </w:r>
      <w:r w:rsidR="00AC3028" w:rsidRPr="000028B6">
        <w:rPr>
          <w:rFonts w:ascii="Times New Roman" w:hAnsi="Times New Roman" w:cs="Times New Roman"/>
          <w:noProof w:val="0"/>
          <w:color w:val="000000" w:themeColor="text1"/>
          <w:sz w:val="24"/>
          <w:szCs w:val="24"/>
          <w:vertAlign w:val="superscript"/>
          <w:lang w:val="en-US"/>
        </w:rPr>
        <w:t>9</w:t>
      </w:r>
      <w:r w:rsidRPr="000028B6">
        <w:rPr>
          <w:rFonts w:ascii="Times New Roman" w:hAnsi="Times New Roman" w:cs="Times New Roman"/>
          <w:noProof w:val="0"/>
          <w:color w:val="000000" w:themeColor="text1"/>
          <w:sz w:val="24"/>
          <w:szCs w:val="24"/>
          <w:lang w:val="en-US"/>
        </w:rPr>
        <w:t>, Krzysztof Simon</w:t>
      </w:r>
      <w:r w:rsidR="00AC3028" w:rsidRPr="000028B6">
        <w:rPr>
          <w:rFonts w:ascii="Times New Roman" w:hAnsi="Times New Roman" w:cs="Times New Roman"/>
          <w:noProof w:val="0"/>
          <w:color w:val="000000" w:themeColor="text1"/>
          <w:sz w:val="24"/>
          <w:szCs w:val="24"/>
          <w:vertAlign w:val="superscript"/>
          <w:lang w:val="en-US"/>
        </w:rPr>
        <w:t>10</w:t>
      </w:r>
      <w:r w:rsidRPr="000028B6">
        <w:rPr>
          <w:rFonts w:ascii="Times New Roman" w:hAnsi="Times New Roman" w:cs="Times New Roman"/>
          <w:noProof w:val="0"/>
          <w:color w:val="000000" w:themeColor="text1"/>
          <w:sz w:val="24"/>
          <w:szCs w:val="24"/>
          <w:lang w:val="en-US"/>
        </w:rPr>
        <w:t>, Krzysztof Tomasiewicz</w:t>
      </w:r>
      <w:r w:rsidR="005E2134" w:rsidRPr="000028B6">
        <w:rPr>
          <w:rFonts w:ascii="Times New Roman" w:hAnsi="Times New Roman" w:cs="Times New Roman"/>
          <w:noProof w:val="0"/>
          <w:color w:val="000000" w:themeColor="text1"/>
          <w:sz w:val="24"/>
          <w:szCs w:val="24"/>
          <w:vertAlign w:val="superscript"/>
          <w:lang w:val="en-US"/>
        </w:rPr>
        <w:t>1</w:t>
      </w:r>
      <w:r w:rsidR="00AC3028" w:rsidRPr="000028B6">
        <w:rPr>
          <w:rFonts w:ascii="Times New Roman" w:hAnsi="Times New Roman" w:cs="Times New Roman"/>
          <w:noProof w:val="0"/>
          <w:color w:val="000000" w:themeColor="text1"/>
          <w:sz w:val="24"/>
          <w:szCs w:val="24"/>
          <w:vertAlign w:val="superscript"/>
          <w:lang w:val="en-US"/>
        </w:rPr>
        <w:t>1</w:t>
      </w:r>
      <w:r w:rsidRPr="000028B6">
        <w:rPr>
          <w:rFonts w:ascii="Times New Roman" w:hAnsi="Times New Roman" w:cs="Times New Roman"/>
          <w:noProof w:val="0"/>
          <w:color w:val="000000" w:themeColor="text1"/>
          <w:sz w:val="24"/>
          <w:szCs w:val="24"/>
          <w:lang w:val="en-US"/>
        </w:rPr>
        <w:t>, Dorota Zarębska-Michaluk</w:t>
      </w:r>
      <w:r w:rsidR="005E2134" w:rsidRPr="000028B6">
        <w:rPr>
          <w:rFonts w:ascii="Times New Roman" w:hAnsi="Times New Roman" w:cs="Times New Roman"/>
          <w:noProof w:val="0"/>
          <w:color w:val="000000" w:themeColor="text1"/>
          <w:sz w:val="24"/>
          <w:szCs w:val="24"/>
          <w:vertAlign w:val="superscript"/>
          <w:lang w:val="en-US"/>
        </w:rPr>
        <w:t>1</w:t>
      </w:r>
      <w:r w:rsidR="00AC3028" w:rsidRPr="000028B6">
        <w:rPr>
          <w:rFonts w:ascii="Times New Roman" w:hAnsi="Times New Roman" w:cs="Times New Roman"/>
          <w:noProof w:val="0"/>
          <w:color w:val="000000" w:themeColor="text1"/>
          <w:sz w:val="24"/>
          <w:szCs w:val="24"/>
          <w:vertAlign w:val="superscript"/>
          <w:lang w:val="en-US"/>
        </w:rPr>
        <w:t>2</w:t>
      </w:r>
    </w:p>
    <w:p w14:paraId="697D4F26" w14:textId="785A70DF"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and Hepatology, Medical University of Białystok, Białystok, Poland</w:t>
      </w:r>
    </w:p>
    <w:p w14:paraId="075242FE" w14:textId="45FFAA3F"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for Adults, Medical University of Warsaw, Warsaw, Poland</w:t>
      </w:r>
    </w:p>
    <w:p w14:paraId="7C32FE09" w14:textId="53562E11" w:rsidR="00AC3028" w:rsidRPr="000028B6" w:rsidRDefault="00AC3028"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Hospital for Infectious Diseases in Warsaw, Warsaw, Poland</w:t>
      </w:r>
    </w:p>
    <w:p w14:paraId="79E0CA1C" w14:textId="5AB28054"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and Hepatology, Medical University of Silesia, Katowice, Poland</w:t>
      </w:r>
    </w:p>
    <w:p w14:paraId="455D6168" w14:textId="1B2CC5FB"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and Hepatology, Faculty of Medicine, Ludwik Rydygier Collegium Med</w:t>
      </w:r>
      <w:r w:rsidR="00CD170A" w:rsidRPr="000028B6">
        <w:rPr>
          <w:rFonts w:ascii="Times New Roman" w:hAnsi="Times New Roman" w:cs="Times New Roman"/>
          <w:noProof w:val="0"/>
          <w:sz w:val="24"/>
          <w:szCs w:val="24"/>
          <w:lang w:val="en-US"/>
        </w:rPr>
        <w:t xml:space="preserve">icum in Bydgoszcz of the </w:t>
      </w:r>
      <w:r w:rsidRPr="000028B6">
        <w:rPr>
          <w:rFonts w:ascii="Times New Roman" w:hAnsi="Times New Roman" w:cs="Times New Roman"/>
          <w:noProof w:val="0"/>
          <w:sz w:val="24"/>
          <w:szCs w:val="24"/>
          <w:lang w:val="en-US"/>
        </w:rPr>
        <w:t>Nicolaus Copernicus University</w:t>
      </w:r>
      <w:r w:rsidR="00CD170A" w:rsidRPr="000028B6">
        <w:rPr>
          <w:rFonts w:ascii="Times New Roman" w:hAnsi="Times New Roman" w:cs="Times New Roman"/>
          <w:noProof w:val="0"/>
          <w:sz w:val="24"/>
          <w:szCs w:val="24"/>
          <w:lang w:val="en-US"/>
        </w:rPr>
        <w:t xml:space="preserve"> in Toruń </w:t>
      </w:r>
      <w:r w:rsidRPr="000028B6">
        <w:rPr>
          <w:rFonts w:ascii="Times New Roman" w:hAnsi="Times New Roman" w:cs="Times New Roman"/>
          <w:noProof w:val="0"/>
          <w:sz w:val="24"/>
          <w:szCs w:val="24"/>
          <w:lang w:val="en-US"/>
        </w:rPr>
        <w:t xml:space="preserve"> Bydgoszcz, Poland</w:t>
      </w:r>
    </w:p>
    <w:p w14:paraId="1E30ED50" w14:textId="2586D8EE"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Family Medicine, Wroclaw Medical University, Wrocław, Poland,</w:t>
      </w:r>
    </w:p>
    <w:p w14:paraId="1893107C" w14:textId="2204B300"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Anesthesiology and Intensive Care Unit, Medical University of Gda</w:t>
      </w:r>
      <w:r w:rsidR="005E2134" w:rsidRPr="000028B6">
        <w:rPr>
          <w:rFonts w:ascii="Times New Roman" w:hAnsi="Times New Roman" w:cs="Times New Roman"/>
          <w:noProof w:val="0"/>
          <w:sz w:val="24"/>
          <w:szCs w:val="24"/>
          <w:lang w:val="en-US"/>
        </w:rPr>
        <w:t>ń</w:t>
      </w:r>
      <w:r w:rsidRPr="000028B6">
        <w:rPr>
          <w:rFonts w:ascii="Times New Roman" w:hAnsi="Times New Roman" w:cs="Times New Roman"/>
          <w:noProof w:val="0"/>
          <w:sz w:val="24"/>
          <w:szCs w:val="24"/>
          <w:lang w:val="en-US"/>
        </w:rPr>
        <w:t>sk, Poland,</w:t>
      </w:r>
    </w:p>
    <w:p w14:paraId="212B58A1" w14:textId="0C0E3850"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Tropical Diseases and Acquired Immunodeficiency, Pomeranian Medical University, Szczecin, Poland</w:t>
      </w:r>
    </w:p>
    <w:p w14:paraId="16F3CAC5" w14:textId="1F6E7DD5"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Department of Infectious Diseases and Hepatology, Medical University of </w:t>
      </w:r>
      <w:r w:rsidR="005E2134" w:rsidRPr="000028B6">
        <w:rPr>
          <w:rFonts w:ascii="Times New Roman" w:hAnsi="Times New Roman" w:cs="Times New Roman"/>
          <w:noProof w:val="0"/>
          <w:sz w:val="24"/>
          <w:szCs w:val="24"/>
          <w:lang w:val="en-US"/>
        </w:rPr>
        <w:t>Łó</w:t>
      </w:r>
      <w:r w:rsidRPr="000028B6">
        <w:rPr>
          <w:rFonts w:ascii="Times New Roman" w:hAnsi="Times New Roman" w:cs="Times New Roman"/>
          <w:noProof w:val="0"/>
          <w:sz w:val="24"/>
          <w:szCs w:val="24"/>
          <w:lang w:val="en-US"/>
        </w:rPr>
        <w:t>d</w:t>
      </w:r>
      <w:r w:rsidR="005E2134" w:rsidRPr="000028B6">
        <w:rPr>
          <w:rFonts w:ascii="Times New Roman" w:hAnsi="Times New Roman" w:cs="Times New Roman"/>
          <w:noProof w:val="0"/>
          <w:sz w:val="24"/>
          <w:szCs w:val="24"/>
          <w:lang w:val="en-US"/>
        </w:rPr>
        <w:t>ź</w:t>
      </w:r>
      <w:r w:rsidRPr="000028B6">
        <w:rPr>
          <w:rFonts w:ascii="Times New Roman" w:hAnsi="Times New Roman" w:cs="Times New Roman"/>
          <w:noProof w:val="0"/>
          <w:sz w:val="24"/>
          <w:szCs w:val="24"/>
          <w:lang w:val="en-US"/>
        </w:rPr>
        <w:t>, Łódź, Poland,</w:t>
      </w:r>
    </w:p>
    <w:p w14:paraId="21B69679" w14:textId="35D0FF7C"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and Hepatology, Medical University of Wrocław, Wrocław, Poland</w:t>
      </w:r>
    </w:p>
    <w:p w14:paraId="74B76E8E" w14:textId="6A974DAF" w:rsidR="002B1129"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Department of Infectious Diseases and Hepatology, Medical University of Lublin, Lublin, Poland</w:t>
      </w:r>
    </w:p>
    <w:p w14:paraId="7262CE42" w14:textId="1EAADA53" w:rsidR="003A63BF" w:rsidRPr="000028B6" w:rsidRDefault="002B1129" w:rsidP="000028B6">
      <w:pPr>
        <w:pStyle w:val="Akapitzlist"/>
        <w:numPr>
          <w:ilvl w:val="0"/>
          <w:numId w:val="18"/>
        </w:numPr>
        <w:spacing w:line="480" w:lineRule="auto"/>
        <w:ind w:left="284" w:hanging="284"/>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Department of Infectious Diseases, Jan Kochanowski University, Kielce, Poland</w:t>
      </w:r>
    </w:p>
    <w:p w14:paraId="3432D1C0" w14:textId="77777777" w:rsidR="002B1129" w:rsidRPr="000028B6" w:rsidRDefault="002B1129" w:rsidP="000028B6">
      <w:pPr>
        <w:spacing w:line="480" w:lineRule="auto"/>
        <w:rPr>
          <w:rFonts w:ascii="Times New Roman" w:hAnsi="Times New Roman" w:cs="Times New Roman"/>
          <w:b/>
          <w:bCs/>
          <w:noProof w:val="0"/>
          <w:sz w:val="24"/>
          <w:szCs w:val="24"/>
          <w:lang w:val="en-US"/>
        </w:rPr>
      </w:pPr>
    </w:p>
    <w:p w14:paraId="641FCBBF" w14:textId="5FD15986" w:rsidR="002B1129" w:rsidRPr="000028B6" w:rsidRDefault="002B1129" w:rsidP="000028B6">
      <w:pPr>
        <w:spacing w:line="480" w:lineRule="auto"/>
        <w:rPr>
          <w:rFonts w:ascii="Times New Roman" w:hAnsi="Times New Roman" w:cs="Times New Roman"/>
          <w:b/>
          <w:bCs/>
          <w:noProof w:val="0"/>
          <w:color w:val="000000" w:themeColor="text1"/>
          <w:sz w:val="24"/>
          <w:szCs w:val="24"/>
          <w:lang w:val="en-US"/>
        </w:rPr>
      </w:pPr>
      <w:r w:rsidRPr="000028B6">
        <w:rPr>
          <w:rFonts w:ascii="Times New Roman" w:hAnsi="Times New Roman" w:cs="Times New Roman"/>
          <w:b/>
          <w:bCs/>
          <w:noProof w:val="0"/>
          <w:sz w:val="24"/>
          <w:szCs w:val="24"/>
          <w:lang w:val="en-US"/>
        </w:rPr>
        <w:t xml:space="preserve">Short title: Recommendations of management in SARS-CoV-2 infections, </w:t>
      </w:r>
      <w:r w:rsidRPr="000028B6">
        <w:rPr>
          <w:rFonts w:ascii="Times New Roman" w:hAnsi="Times New Roman" w:cs="Times New Roman"/>
          <w:b/>
          <w:bCs/>
          <w:noProof w:val="0"/>
          <w:color w:val="000000" w:themeColor="text1"/>
          <w:sz w:val="24"/>
          <w:szCs w:val="24"/>
          <w:lang w:val="en-US"/>
        </w:rPr>
        <w:t xml:space="preserve">PTEiLChZ, v. </w:t>
      </w:r>
      <w:r w:rsidR="00A06454">
        <w:rPr>
          <w:rFonts w:ascii="Times New Roman" w:hAnsi="Times New Roman" w:cs="Times New Roman"/>
          <w:b/>
          <w:bCs/>
          <w:noProof w:val="0"/>
          <w:color w:val="000000" w:themeColor="text1"/>
          <w:sz w:val="24"/>
          <w:szCs w:val="24"/>
          <w:lang w:val="en-US"/>
        </w:rPr>
        <w:t>2</w:t>
      </w:r>
      <w:r w:rsidR="00837CAF" w:rsidRPr="000028B6">
        <w:rPr>
          <w:rFonts w:ascii="Times New Roman" w:hAnsi="Times New Roman" w:cs="Times New Roman"/>
          <w:b/>
          <w:bCs/>
          <w:noProof w:val="0"/>
          <w:color w:val="000000" w:themeColor="text1"/>
          <w:sz w:val="24"/>
          <w:szCs w:val="24"/>
          <w:lang w:val="en-US"/>
        </w:rPr>
        <w:t>6</w:t>
      </w:r>
      <w:r w:rsidRPr="000028B6">
        <w:rPr>
          <w:rFonts w:ascii="Times New Roman" w:hAnsi="Times New Roman" w:cs="Times New Roman"/>
          <w:b/>
          <w:bCs/>
          <w:noProof w:val="0"/>
          <w:color w:val="000000" w:themeColor="text1"/>
          <w:sz w:val="24"/>
          <w:szCs w:val="24"/>
          <w:lang w:val="en-US"/>
        </w:rPr>
        <w:t>-04-2021</w:t>
      </w:r>
    </w:p>
    <w:p w14:paraId="2CE62FC0" w14:textId="53642D62" w:rsidR="002B1129" w:rsidRPr="000028B6" w:rsidRDefault="002B1129"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 xml:space="preserve">Corresponding author: </w:t>
      </w:r>
      <w:r w:rsidRPr="000028B6">
        <w:rPr>
          <w:rFonts w:ascii="Times New Roman" w:hAnsi="Times New Roman" w:cs="Times New Roman"/>
          <w:noProof w:val="0"/>
          <w:sz w:val="24"/>
          <w:szCs w:val="24"/>
          <w:lang w:val="en-US"/>
        </w:rPr>
        <w:t>Prof. Robert Flisiak,</w:t>
      </w:r>
      <w:r w:rsidR="00A344C8" w:rsidRPr="000028B6">
        <w:rPr>
          <w:rFonts w:ascii="Times New Roman" w:hAnsi="Times New Roman" w:cs="Times New Roman"/>
          <w:noProof w:val="0"/>
          <w:sz w:val="24"/>
          <w:szCs w:val="24"/>
          <w:lang w:val="en-US"/>
        </w:rPr>
        <w:t xml:space="preserve">MD, PhD, </w:t>
      </w:r>
      <w:r w:rsidRPr="000028B6">
        <w:rPr>
          <w:rFonts w:ascii="Times New Roman" w:hAnsi="Times New Roman" w:cs="Times New Roman"/>
          <w:noProof w:val="0"/>
          <w:sz w:val="24"/>
          <w:szCs w:val="24"/>
          <w:lang w:val="en-US"/>
        </w:rPr>
        <w:t>Department of Infectious Diseases</w:t>
      </w:r>
      <w:r w:rsidR="00A344C8" w:rsidRPr="000028B6">
        <w:rPr>
          <w:rFonts w:ascii="Times New Roman" w:hAnsi="Times New Roman" w:cs="Times New Roman"/>
          <w:noProof w:val="0"/>
          <w:sz w:val="24"/>
          <w:szCs w:val="24"/>
          <w:lang w:val="en-US"/>
        </w:rPr>
        <w:t xml:space="preserve"> and Hepatology</w:t>
      </w:r>
      <w:r w:rsidRPr="000028B6">
        <w:rPr>
          <w:rFonts w:ascii="Times New Roman" w:hAnsi="Times New Roman" w:cs="Times New Roman"/>
          <w:noProof w:val="0"/>
          <w:sz w:val="24"/>
          <w:szCs w:val="24"/>
          <w:lang w:val="en-US"/>
        </w:rPr>
        <w:t xml:space="preserve">, Medical University in Białystok, 15-540 Białystok, </w:t>
      </w:r>
      <w:r w:rsidR="00893151" w:rsidRPr="000028B6">
        <w:rPr>
          <w:rFonts w:ascii="Times New Roman" w:hAnsi="Times New Roman" w:cs="Times New Roman"/>
          <w:noProof w:val="0"/>
          <w:sz w:val="24"/>
          <w:szCs w:val="24"/>
          <w:lang w:val="en-US"/>
        </w:rPr>
        <w:t xml:space="preserve">ul. </w:t>
      </w:r>
      <w:r w:rsidRPr="000028B6">
        <w:rPr>
          <w:rFonts w:ascii="Times New Roman" w:hAnsi="Times New Roman" w:cs="Times New Roman"/>
          <w:noProof w:val="0"/>
          <w:sz w:val="24"/>
          <w:szCs w:val="24"/>
          <w:lang w:val="en-US"/>
        </w:rPr>
        <w:t>Żurawia 14, tel: +48 85 7416921, robert.flisiak1@gmail.com</w:t>
      </w:r>
    </w:p>
    <w:p w14:paraId="105B3BF1" w14:textId="687845F7" w:rsidR="002B1129" w:rsidRPr="000028B6" w:rsidRDefault="002B1129"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 xml:space="preserve">Conflict of interest: </w:t>
      </w:r>
      <w:r w:rsidRPr="000028B6">
        <w:rPr>
          <w:rFonts w:ascii="Times New Roman" w:hAnsi="Times New Roman" w:cs="Times New Roman"/>
          <w:noProof w:val="0"/>
          <w:sz w:val="24"/>
          <w:szCs w:val="24"/>
          <w:lang w:val="en-US"/>
        </w:rPr>
        <w:t>none declared</w:t>
      </w:r>
    </w:p>
    <w:p w14:paraId="123B1AA1" w14:textId="77777777" w:rsidR="002B1129" w:rsidRPr="000028B6" w:rsidRDefault="002B1129"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br w:type="page"/>
      </w:r>
    </w:p>
    <w:p w14:paraId="7963B0E6" w14:textId="1CA5730A" w:rsidR="00DC215A" w:rsidRPr="000028B6" w:rsidRDefault="009A698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lastRenderedPageBreak/>
        <w:t>Introduction</w:t>
      </w:r>
    </w:p>
    <w:p w14:paraId="19A0A110" w14:textId="21B196B2" w:rsidR="00ED3A30" w:rsidRPr="000028B6" w:rsidRDefault="00ED3A30"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In early 2020 the world found out about the novel beta coronavirus which in December 2019 caused an epidemic of pneumonia in Wuhan, China. The virus was officially named </w:t>
      </w:r>
      <w:r w:rsidR="00893151" w:rsidRPr="000028B6">
        <w:rPr>
          <w:rFonts w:ascii="Times New Roman" w:hAnsi="Times New Roman" w:cs="Times New Roman"/>
          <w:noProof w:val="0"/>
          <w:sz w:val="24"/>
          <w:szCs w:val="24"/>
          <w:lang w:val="en-US"/>
        </w:rPr>
        <w:t xml:space="preserve">severe acute respiratory syndrome coronavirus </w:t>
      </w:r>
      <w:r w:rsidRPr="000028B6">
        <w:rPr>
          <w:rFonts w:ascii="Times New Roman" w:hAnsi="Times New Roman" w:cs="Times New Roman"/>
          <w:noProof w:val="0"/>
          <w:sz w:val="24"/>
          <w:szCs w:val="24"/>
          <w:lang w:val="en-US"/>
        </w:rPr>
        <w:t xml:space="preserve">2 (SARS-CoV-2) and the disease received the name of </w:t>
      </w:r>
      <w:r w:rsidR="00893151" w:rsidRPr="000028B6">
        <w:rPr>
          <w:rFonts w:ascii="Times New Roman" w:hAnsi="Times New Roman" w:cs="Times New Roman"/>
          <w:noProof w:val="0"/>
          <w:sz w:val="24"/>
          <w:szCs w:val="24"/>
          <w:lang w:val="en-US"/>
        </w:rPr>
        <w:t xml:space="preserve">coronavirus disease </w:t>
      </w:r>
      <w:r w:rsidRPr="000028B6">
        <w:rPr>
          <w:rFonts w:ascii="Times New Roman" w:hAnsi="Times New Roman" w:cs="Times New Roman"/>
          <w:noProof w:val="0"/>
          <w:sz w:val="24"/>
          <w:szCs w:val="24"/>
          <w:lang w:val="en-US"/>
        </w:rPr>
        <w:t>2019 (COVID-19) [</w:t>
      </w:r>
      <w:r w:rsidR="00E848D4" w:rsidRPr="000028B6">
        <w:rPr>
          <w:rFonts w:ascii="Times New Roman" w:hAnsi="Times New Roman" w:cs="Times New Roman"/>
          <w:noProof w:val="0"/>
          <w:sz w:val="24"/>
          <w:szCs w:val="24"/>
          <w:lang w:val="en-US"/>
        </w:rPr>
        <w:t>1</w:t>
      </w:r>
      <w:r w:rsidRPr="000028B6">
        <w:rPr>
          <w:rFonts w:ascii="Times New Roman" w:hAnsi="Times New Roman" w:cs="Times New Roman"/>
          <w:noProof w:val="0"/>
          <w:sz w:val="24"/>
          <w:szCs w:val="24"/>
          <w:lang w:val="en-US"/>
        </w:rPr>
        <w:t xml:space="preserve">]. The outbreak has spread rapidly in many countries all over the world and on March </w:t>
      </w:r>
      <w:r w:rsidR="00051640" w:rsidRPr="000028B6">
        <w:rPr>
          <w:rFonts w:ascii="Times New Roman" w:hAnsi="Times New Roman" w:cs="Times New Roman"/>
          <w:noProof w:val="0"/>
          <w:sz w:val="24"/>
          <w:szCs w:val="24"/>
          <w:lang w:val="en-US"/>
        </w:rPr>
        <w:t xml:space="preserve">11, </w:t>
      </w:r>
      <w:r w:rsidRPr="000028B6">
        <w:rPr>
          <w:rFonts w:ascii="Times New Roman" w:hAnsi="Times New Roman" w:cs="Times New Roman"/>
          <w:noProof w:val="0"/>
          <w:sz w:val="24"/>
          <w:szCs w:val="24"/>
          <w:lang w:val="en-US"/>
        </w:rPr>
        <w:t xml:space="preserve">2020 </w:t>
      </w:r>
      <w:r w:rsidR="00051640"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World Health Organization (WHO) announced a pandemic of COVID-19. In the light of the increasing number of affected patients globally, there was an urgent need to establish the management of this emerging disease. In Poland, the first recommendations on the diagnosis and treatment of COVID-19 were issued by the Polish Association of Epidemiologists and Infectiologists on March </w:t>
      </w:r>
      <w:r w:rsidR="00051640" w:rsidRPr="000028B6">
        <w:rPr>
          <w:rFonts w:ascii="Times New Roman" w:hAnsi="Times New Roman" w:cs="Times New Roman"/>
          <w:noProof w:val="0"/>
          <w:sz w:val="24"/>
          <w:szCs w:val="24"/>
          <w:lang w:val="en-US"/>
        </w:rPr>
        <w:t xml:space="preserve">31, </w:t>
      </w:r>
      <w:r w:rsidRPr="000028B6">
        <w:rPr>
          <w:rFonts w:ascii="Times New Roman" w:hAnsi="Times New Roman" w:cs="Times New Roman"/>
          <w:noProof w:val="0"/>
          <w:sz w:val="24"/>
          <w:szCs w:val="24"/>
          <w:lang w:val="en-US"/>
        </w:rPr>
        <w:t>2020 [</w:t>
      </w:r>
      <w:r w:rsidR="00E848D4" w:rsidRPr="000028B6">
        <w:rPr>
          <w:rFonts w:ascii="Times New Roman" w:hAnsi="Times New Roman" w:cs="Times New Roman"/>
          <w:noProof w:val="0"/>
          <w:sz w:val="24"/>
          <w:szCs w:val="24"/>
          <w:lang w:val="en-US"/>
        </w:rPr>
        <w:t>2</w:t>
      </w:r>
      <w:r w:rsidRPr="000028B6">
        <w:rPr>
          <w:rFonts w:ascii="Times New Roman" w:hAnsi="Times New Roman" w:cs="Times New Roman"/>
          <w:noProof w:val="0"/>
          <w:sz w:val="24"/>
          <w:szCs w:val="24"/>
          <w:lang w:val="en-US"/>
        </w:rPr>
        <w:t>]. Those practical guidelines were created based on the previous experience with two known human pathogenic coronaviruses, SARS-CoV</w:t>
      </w:r>
      <w:r w:rsidR="009F70F5" w:rsidRPr="000028B6">
        <w:rPr>
          <w:rFonts w:ascii="Times New Roman" w:hAnsi="Times New Roman" w:cs="Times New Roman"/>
          <w:noProof w:val="0"/>
          <w:sz w:val="24"/>
          <w:szCs w:val="24"/>
          <w:lang w:val="en-US"/>
        </w:rPr>
        <w:t>-1</w:t>
      </w:r>
      <w:r w:rsidRPr="000028B6">
        <w:rPr>
          <w:rFonts w:ascii="Times New Roman" w:hAnsi="Times New Roman" w:cs="Times New Roman"/>
          <w:noProof w:val="0"/>
          <w:sz w:val="24"/>
          <w:szCs w:val="24"/>
          <w:lang w:val="en-US"/>
        </w:rPr>
        <w:t xml:space="preserve"> and </w:t>
      </w:r>
      <w:r w:rsidR="000C643A" w:rsidRPr="000028B6">
        <w:rPr>
          <w:rFonts w:ascii="Times New Roman" w:hAnsi="Times New Roman" w:cs="Times New Roman"/>
          <w:noProof w:val="0"/>
          <w:sz w:val="24"/>
          <w:szCs w:val="24"/>
          <w:lang w:val="en-US"/>
        </w:rPr>
        <w:t xml:space="preserve">Middle East </w:t>
      </w:r>
      <w:r w:rsidR="00893151" w:rsidRPr="000028B6">
        <w:rPr>
          <w:rFonts w:ascii="Times New Roman" w:hAnsi="Times New Roman" w:cs="Times New Roman"/>
          <w:noProof w:val="0"/>
          <w:sz w:val="24"/>
          <w:szCs w:val="24"/>
          <w:lang w:val="en-US"/>
        </w:rPr>
        <w:t xml:space="preserve">respiratory syndrome coronavirus </w:t>
      </w:r>
      <w:r w:rsidR="000C643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MERS-CoV</w:t>
      </w:r>
      <w:r w:rsidR="000C643A" w:rsidRPr="000028B6">
        <w:rPr>
          <w:rFonts w:ascii="Times New Roman" w:hAnsi="Times New Roman" w:cs="Times New Roman"/>
          <w:noProof w:val="0"/>
          <w:sz w:val="24"/>
          <w:szCs w:val="24"/>
          <w:lang w:val="en-US"/>
        </w:rPr>
        <w:t>)</w:t>
      </w:r>
      <w:r w:rsidR="00051640"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due to similarities and newly available data on SARS-CoV-2. The pathogenesis, transmission routes, methods of protecting against the infection, diagnostic procedures including molecular and serological methods, the definition of a suspected, probable and confirmed case of COVID-19 along with clinical symptoms of the disease were described. However, the most attention has been paid to specific management in the different clinical presentations of COVID-19,</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including asymptomatic or mild, </w:t>
      </w:r>
      <w:r w:rsidR="00590916"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stable stage with respiratory and/or systemic symptoms, </w:t>
      </w:r>
      <w:r w:rsidR="00590916"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unstable </w:t>
      </w:r>
      <w:r w:rsidR="00051640" w:rsidRPr="000028B6">
        <w:rPr>
          <w:rFonts w:ascii="Times New Roman" w:hAnsi="Times New Roman" w:cs="Times New Roman"/>
          <w:noProof w:val="0"/>
          <w:sz w:val="24"/>
          <w:szCs w:val="24"/>
          <w:lang w:val="en-US"/>
        </w:rPr>
        <w:t xml:space="preserve">stage </w:t>
      </w:r>
      <w:r w:rsidRPr="000028B6">
        <w:rPr>
          <w:rFonts w:ascii="Times New Roman" w:hAnsi="Times New Roman" w:cs="Times New Roman"/>
          <w:noProof w:val="0"/>
          <w:sz w:val="24"/>
          <w:szCs w:val="24"/>
          <w:lang w:val="en-US"/>
        </w:rPr>
        <w:t xml:space="preserve">of respiratory failure, and </w:t>
      </w:r>
      <w:r w:rsidR="00590916"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critical condition with acute respiratory distress syndrome (ARDS). The recommendations have been updated twice due to new data </w:t>
      </w:r>
      <w:r w:rsidR="00051640" w:rsidRPr="000028B6">
        <w:rPr>
          <w:rFonts w:ascii="Times New Roman" w:hAnsi="Times New Roman" w:cs="Times New Roman"/>
          <w:noProof w:val="0"/>
          <w:sz w:val="24"/>
          <w:szCs w:val="24"/>
          <w:lang w:val="en-US"/>
        </w:rPr>
        <w:t xml:space="preserve">becoming </w:t>
      </w:r>
      <w:r w:rsidRPr="000028B6">
        <w:rPr>
          <w:rFonts w:ascii="Times New Roman" w:hAnsi="Times New Roman" w:cs="Times New Roman"/>
          <w:noProof w:val="0"/>
          <w:sz w:val="24"/>
          <w:szCs w:val="24"/>
          <w:lang w:val="en-US"/>
        </w:rPr>
        <w:t xml:space="preserve">available, especially in the field of pharmacological treatment. The most important change in the first Annex from June 2020 was the recommendation to use </w:t>
      </w:r>
      <w:r w:rsidR="00051640" w:rsidRPr="000028B6">
        <w:rPr>
          <w:rFonts w:ascii="Times New Roman" w:hAnsi="Times New Roman" w:cs="Times New Roman"/>
          <w:noProof w:val="0"/>
          <w:sz w:val="24"/>
          <w:szCs w:val="24"/>
          <w:lang w:val="en-US"/>
        </w:rPr>
        <w:t>remdesivir (</w:t>
      </w:r>
      <w:r w:rsidR="00893151" w:rsidRPr="000028B6">
        <w:rPr>
          <w:rFonts w:ascii="Times New Roman" w:hAnsi="Times New Roman" w:cs="Times New Roman"/>
          <w:noProof w:val="0"/>
          <w:sz w:val="24"/>
          <w:szCs w:val="24"/>
          <w:lang w:val="en-US"/>
        </w:rPr>
        <w:t>RDV</w:t>
      </w:r>
      <w:r w:rsidR="00051640" w:rsidRPr="000028B6">
        <w:rPr>
          <w:rFonts w:ascii="Times New Roman" w:hAnsi="Times New Roman" w:cs="Times New Roman"/>
          <w:noProof w:val="0"/>
          <w:sz w:val="24"/>
          <w:szCs w:val="24"/>
          <w:lang w:val="en-US"/>
        </w:rPr>
        <w:t>)</w:t>
      </w:r>
      <w:r w:rsidR="00893151" w:rsidRPr="000028B6">
        <w:rPr>
          <w:rFonts w:ascii="Times New Roman" w:hAnsi="Times New Roman" w:cs="Times New Roman"/>
          <w:noProof w:val="0"/>
          <w:sz w:val="24"/>
          <w:szCs w:val="24"/>
          <w:lang w:val="en-US"/>
        </w:rPr>
        <w:t xml:space="preserve"> at </w:t>
      </w:r>
      <w:r w:rsidRPr="000028B6">
        <w:rPr>
          <w:rFonts w:ascii="Times New Roman" w:hAnsi="Times New Roman" w:cs="Times New Roman"/>
          <w:noProof w:val="0"/>
          <w:sz w:val="24"/>
          <w:szCs w:val="24"/>
          <w:lang w:val="en-US"/>
        </w:rPr>
        <w:t>an earlier stage of COVID-19, as a consequence of the Emergency Use Authorization issued by the United States Food and Drug Administration (FDA) and E</w:t>
      </w:r>
      <w:r w:rsidR="004B1F2A" w:rsidRPr="000028B6">
        <w:rPr>
          <w:rFonts w:ascii="Times New Roman" w:hAnsi="Times New Roman" w:cs="Times New Roman"/>
          <w:noProof w:val="0"/>
          <w:sz w:val="24"/>
          <w:szCs w:val="24"/>
          <w:lang w:val="en-US"/>
        </w:rPr>
        <w:t xml:space="preserve">uropean Medicines Agency (EMA) </w:t>
      </w:r>
      <w:r w:rsidRPr="000028B6">
        <w:rPr>
          <w:rFonts w:ascii="Times New Roman" w:hAnsi="Times New Roman" w:cs="Times New Roman"/>
          <w:noProof w:val="0"/>
          <w:sz w:val="24"/>
          <w:szCs w:val="24"/>
          <w:lang w:val="en-US"/>
        </w:rPr>
        <w:t>[</w:t>
      </w:r>
      <w:r w:rsidR="00E848D4" w:rsidRPr="000028B6">
        <w:rPr>
          <w:rFonts w:ascii="Times New Roman" w:hAnsi="Times New Roman" w:cs="Times New Roman"/>
          <w:noProof w:val="0"/>
          <w:sz w:val="24"/>
          <w:szCs w:val="24"/>
          <w:lang w:val="en-US"/>
        </w:rPr>
        <w:t>3</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4</w:t>
      </w:r>
      <w:r w:rsidRPr="000028B6">
        <w:rPr>
          <w:rFonts w:ascii="Times New Roman" w:hAnsi="Times New Roman" w:cs="Times New Roman"/>
          <w:noProof w:val="0"/>
          <w:sz w:val="24"/>
          <w:szCs w:val="24"/>
          <w:lang w:val="en-US"/>
        </w:rPr>
        <w:t xml:space="preserve">]. The second </w:t>
      </w:r>
      <w:r w:rsidRPr="000028B6">
        <w:rPr>
          <w:rFonts w:ascii="Times New Roman" w:hAnsi="Times New Roman" w:cs="Times New Roman"/>
          <w:noProof w:val="0"/>
          <w:sz w:val="24"/>
          <w:szCs w:val="24"/>
          <w:lang w:val="en-US"/>
        </w:rPr>
        <w:lastRenderedPageBreak/>
        <w:t xml:space="preserve">amendment from October 2020 solidified the recommendation to apply </w:t>
      </w:r>
      <w:r w:rsidR="00051640" w:rsidRPr="000028B6">
        <w:rPr>
          <w:rFonts w:ascii="Times New Roman" w:hAnsi="Times New Roman" w:cs="Times New Roman"/>
          <w:noProof w:val="0"/>
          <w:sz w:val="24"/>
          <w:szCs w:val="24"/>
          <w:lang w:val="en-US"/>
        </w:rPr>
        <w:t xml:space="preserve">RDV </w:t>
      </w:r>
      <w:r w:rsidRPr="000028B6">
        <w:rPr>
          <w:rFonts w:ascii="Times New Roman" w:hAnsi="Times New Roman" w:cs="Times New Roman"/>
          <w:noProof w:val="0"/>
          <w:sz w:val="24"/>
          <w:szCs w:val="24"/>
          <w:lang w:val="en-US"/>
        </w:rPr>
        <w:t xml:space="preserve">at the stage of viral replication and </w:t>
      </w:r>
      <w:r w:rsidR="004B1F2A" w:rsidRPr="000028B6">
        <w:rPr>
          <w:rFonts w:ascii="Times New Roman" w:hAnsi="Times New Roman" w:cs="Times New Roman"/>
          <w:noProof w:val="0"/>
          <w:sz w:val="24"/>
          <w:szCs w:val="24"/>
          <w:lang w:val="en-US"/>
        </w:rPr>
        <w:t>tocilizumab</w:t>
      </w:r>
      <w:r w:rsidRPr="000028B6">
        <w:rPr>
          <w:rFonts w:ascii="Times New Roman" w:hAnsi="Times New Roman" w:cs="Times New Roman"/>
          <w:noProof w:val="0"/>
          <w:sz w:val="24"/>
          <w:szCs w:val="24"/>
          <w:lang w:val="en-US"/>
        </w:rPr>
        <w:t xml:space="preserve"> and/or glucocorticosteroids at the unstable stage of cytokine storm based on the results from clinical trials and real-world experience studies </w:t>
      </w:r>
      <w:r w:rsidR="000E35DD" w:rsidRPr="000028B6">
        <w:rPr>
          <w:rFonts w:ascii="Times New Roman" w:hAnsi="Times New Roman" w:cs="Times New Roman"/>
          <w:noProof w:val="0"/>
          <w:sz w:val="24"/>
          <w:szCs w:val="24"/>
          <w:lang w:val="en-US"/>
        </w:rPr>
        <w:t>[</w:t>
      </w:r>
      <w:r w:rsidR="00E848D4" w:rsidRPr="000028B6">
        <w:rPr>
          <w:rFonts w:ascii="Times New Roman" w:hAnsi="Times New Roman" w:cs="Times New Roman"/>
          <w:noProof w:val="0"/>
          <w:sz w:val="24"/>
          <w:szCs w:val="24"/>
          <w:lang w:val="en-US"/>
        </w:rPr>
        <w:t>5</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6</w:t>
      </w:r>
      <w:r w:rsidR="000E35DD"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7</w:t>
      </w:r>
      <w:r w:rsidR="000E35DD"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8</w:t>
      </w:r>
      <w:r w:rsidR="000E35DD"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t>
      </w:r>
      <w:r w:rsidR="004B1F2A" w:rsidRPr="000028B6">
        <w:rPr>
          <w:rFonts w:ascii="Times New Roman" w:hAnsi="Times New Roman" w:cs="Times New Roman"/>
          <w:noProof w:val="0"/>
          <w:sz w:val="24"/>
          <w:szCs w:val="24"/>
          <w:lang w:val="en-US"/>
        </w:rPr>
        <w:t>Moreover</w:t>
      </w:r>
      <w:r w:rsidR="00051640" w:rsidRPr="000028B6">
        <w:rPr>
          <w:rFonts w:ascii="Times New Roman" w:hAnsi="Times New Roman" w:cs="Times New Roman"/>
          <w:noProof w:val="0"/>
          <w:sz w:val="24"/>
          <w:szCs w:val="24"/>
          <w:lang w:val="en-US"/>
        </w:rPr>
        <w:t>,</w:t>
      </w:r>
      <w:r w:rsidR="004B1F2A" w:rsidRPr="000028B6">
        <w:rPr>
          <w:rFonts w:ascii="Times New Roman" w:hAnsi="Times New Roman" w:cs="Times New Roman"/>
          <w:noProof w:val="0"/>
          <w:sz w:val="24"/>
          <w:szCs w:val="24"/>
          <w:lang w:val="en-US"/>
        </w:rPr>
        <w:t xml:space="preserve"> several drugs </w:t>
      </w:r>
      <w:r w:rsidRPr="000028B6">
        <w:rPr>
          <w:rFonts w:ascii="Times New Roman" w:hAnsi="Times New Roman" w:cs="Times New Roman"/>
          <w:noProof w:val="0"/>
          <w:sz w:val="24"/>
          <w:szCs w:val="24"/>
          <w:lang w:val="en-US"/>
        </w:rPr>
        <w:t xml:space="preserve">were delisted due to evidence of therapeutic ineffectiveness </w:t>
      </w:r>
      <w:r w:rsidR="00E848D4" w:rsidRPr="000028B6">
        <w:rPr>
          <w:rFonts w:ascii="Times New Roman" w:hAnsi="Times New Roman" w:cs="Times New Roman"/>
          <w:noProof w:val="0"/>
          <w:sz w:val="24"/>
          <w:szCs w:val="24"/>
          <w:lang w:val="en-US"/>
        </w:rPr>
        <w:t>[9</w:t>
      </w:r>
      <w:r w:rsidRPr="000028B6">
        <w:rPr>
          <w:rFonts w:ascii="Times New Roman" w:hAnsi="Times New Roman" w:cs="Times New Roman"/>
          <w:noProof w:val="0"/>
          <w:sz w:val="24"/>
          <w:szCs w:val="24"/>
          <w:lang w:val="en-US"/>
        </w:rPr>
        <w:t xml:space="preserve">]. After one year of </w:t>
      </w:r>
      <w:r w:rsidR="00051640"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pandemic, despite global efforts of medical staff, we still do not </w:t>
      </w:r>
      <w:r w:rsidR="00590916" w:rsidRPr="000028B6">
        <w:rPr>
          <w:rFonts w:ascii="Times New Roman" w:hAnsi="Times New Roman" w:cs="Times New Roman"/>
          <w:noProof w:val="0"/>
          <w:sz w:val="24"/>
          <w:szCs w:val="24"/>
          <w:lang w:val="en-US"/>
        </w:rPr>
        <w:t xml:space="preserve">have </w:t>
      </w:r>
      <w:r w:rsidRPr="000028B6">
        <w:rPr>
          <w:rFonts w:ascii="Times New Roman" w:hAnsi="Times New Roman" w:cs="Times New Roman"/>
          <w:noProof w:val="0"/>
          <w:sz w:val="24"/>
          <w:szCs w:val="24"/>
          <w:lang w:val="en-US"/>
        </w:rPr>
        <w:t xml:space="preserve">control </w:t>
      </w:r>
      <w:r w:rsidR="00590916" w:rsidRPr="000028B6">
        <w:rPr>
          <w:rFonts w:ascii="Times New Roman" w:hAnsi="Times New Roman" w:cs="Times New Roman"/>
          <w:noProof w:val="0"/>
          <w:sz w:val="24"/>
          <w:szCs w:val="24"/>
          <w:lang w:val="en-US"/>
        </w:rPr>
        <w:t xml:space="preserve">of </w:t>
      </w:r>
      <w:r w:rsidRPr="000028B6">
        <w:rPr>
          <w:rFonts w:ascii="Times New Roman" w:hAnsi="Times New Roman" w:cs="Times New Roman"/>
          <w:noProof w:val="0"/>
          <w:sz w:val="24"/>
          <w:szCs w:val="24"/>
          <w:lang w:val="en-US"/>
        </w:rPr>
        <w:t>the disease. New hopes were raised with the development of vaccines</w:t>
      </w:r>
      <w:r w:rsidR="00051640"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however, to date, the vaccination coverage </w:t>
      </w:r>
      <w:r w:rsidR="00051640" w:rsidRPr="000028B6">
        <w:rPr>
          <w:rFonts w:ascii="Times New Roman" w:hAnsi="Times New Roman" w:cs="Times New Roman"/>
          <w:noProof w:val="0"/>
          <w:sz w:val="24"/>
          <w:szCs w:val="24"/>
          <w:lang w:val="en-US"/>
        </w:rPr>
        <w:t>added to</w:t>
      </w:r>
      <w:r w:rsidRPr="000028B6">
        <w:rPr>
          <w:rFonts w:ascii="Times New Roman" w:hAnsi="Times New Roman" w:cs="Times New Roman"/>
          <w:noProof w:val="0"/>
          <w:sz w:val="24"/>
          <w:szCs w:val="24"/>
          <w:lang w:val="en-US"/>
        </w:rPr>
        <w:t xml:space="preserve"> the number of people who have </w:t>
      </w:r>
      <w:r w:rsidR="00051640" w:rsidRPr="000028B6">
        <w:rPr>
          <w:rFonts w:ascii="Times New Roman" w:hAnsi="Times New Roman" w:cs="Times New Roman"/>
          <w:noProof w:val="0"/>
          <w:sz w:val="24"/>
          <w:szCs w:val="24"/>
          <w:lang w:val="en-US"/>
        </w:rPr>
        <w:t>experienced</w:t>
      </w:r>
      <w:r w:rsidRPr="000028B6">
        <w:rPr>
          <w:rFonts w:ascii="Times New Roman" w:hAnsi="Times New Roman" w:cs="Times New Roman"/>
          <w:noProof w:val="0"/>
          <w:sz w:val="24"/>
          <w:szCs w:val="24"/>
          <w:lang w:val="en-US"/>
        </w:rPr>
        <w:t xml:space="preserve"> SARS-CoV-2 infection is insufficient to achieve herd immunity. In the face of emerging data and growing clinical experience, new recommendations on the management of COVID-19 are needed.</w:t>
      </w:r>
    </w:p>
    <w:p w14:paraId="3D6D04A3" w14:textId="11C8CF55" w:rsidR="00DC215A" w:rsidRPr="000028B6" w:rsidRDefault="00893151"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Etiology</w:t>
      </w:r>
      <w:r w:rsidR="00143429" w:rsidRPr="000028B6">
        <w:rPr>
          <w:rFonts w:ascii="Times New Roman" w:hAnsi="Times New Roman" w:cs="Times New Roman"/>
          <w:b/>
          <w:bCs/>
          <w:noProof w:val="0"/>
          <w:sz w:val="24"/>
          <w:szCs w:val="24"/>
          <w:lang w:val="en-US"/>
        </w:rPr>
        <w:t xml:space="preserve"> </w:t>
      </w:r>
    </w:p>
    <w:p w14:paraId="6BFCC5B6" w14:textId="186E543C" w:rsidR="002D6214" w:rsidRPr="000028B6" w:rsidRDefault="002D6214"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Coronaviruses include a wide variety of viruses that cause disease in humans and animals. </w:t>
      </w:r>
      <w:r w:rsidR="0045362C" w:rsidRPr="000028B6">
        <w:rPr>
          <w:rFonts w:ascii="Times New Roman" w:hAnsi="Times New Roman" w:cs="Times New Roman"/>
          <w:noProof w:val="0"/>
          <w:sz w:val="24"/>
          <w:szCs w:val="24"/>
          <w:lang w:val="en-US"/>
        </w:rPr>
        <w:t>So far</w:t>
      </w:r>
      <w:r w:rsidRPr="000028B6">
        <w:rPr>
          <w:rFonts w:ascii="Times New Roman" w:hAnsi="Times New Roman" w:cs="Times New Roman"/>
          <w:noProof w:val="0"/>
          <w:sz w:val="24"/>
          <w:szCs w:val="24"/>
          <w:lang w:val="en-US"/>
        </w:rPr>
        <w:t xml:space="preserve">, seven </w:t>
      </w:r>
      <w:r w:rsidR="00516E47" w:rsidRPr="000028B6">
        <w:rPr>
          <w:rFonts w:ascii="Times New Roman" w:hAnsi="Times New Roman" w:cs="Times New Roman"/>
          <w:noProof w:val="0"/>
          <w:sz w:val="24"/>
          <w:szCs w:val="24"/>
          <w:lang w:val="en-US"/>
        </w:rPr>
        <w:t xml:space="preserve">species </w:t>
      </w:r>
      <w:r w:rsidRPr="000028B6">
        <w:rPr>
          <w:rFonts w:ascii="Times New Roman" w:hAnsi="Times New Roman" w:cs="Times New Roman"/>
          <w:noProof w:val="0"/>
          <w:sz w:val="24"/>
          <w:szCs w:val="24"/>
          <w:lang w:val="en-US"/>
        </w:rPr>
        <w:t xml:space="preserve">of coronaviruses pathogenic for humans, mainly for children, </w:t>
      </w:r>
      <w:r w:rsidR="0045362C" w:rsidRPr="000028B6">
        <w:rPr>
          <w:rFonts w:ascii="Times New Roman" w:hAnsi="Times New Roman" w:cs="Times New Roman"/>
          <w:noProof w:val="0"/>
          <w:sz w:val="24"/>
          <w:szCs w:val="24"/>
          <w:lang w:val="en-US"/>
        </w:rPr>
        <w:t>are</w:t>
      </w:r>
      <w:r w:rsidRPr="000028B6">
        <w:rPr>
          <w:rFonts w:ascii="Times New Roman" w:hAnsi="Times New Roman" w:cs="Times New Roman"/>
          <w:noProof w:val="0"/>
          <w:sz w:val="24"/>
          <w:szCs w:val="24"/>
          <w:lang w:val="en-US"/>
        </w:rPr>
        <w:t xml:space="preserve"> known. In 2002 and 2012, two new </w:t>
      </w:r>
      <w:r w:rsidR="009F70F5" w:rsidRPr="000028B6">
        <w:rPr>
          <w:rFonts w:ascii="Times New Roman" w:hAnsi="Times New Roman" w:cs="Times New Roman"/>
          <w:noProof w:val="0"/>
          <w:sz w:val="24"/>
          <w:szCs w:val="24"/>
          <w:lang w:val="en-US"/>
        </w:rPr>
        <w:t>species</w:t>
      </w:r>
      <w:r w:rsidRPr="000028B6">
        <w:rPr>
          <w:rFonts w:ascii="Times New Roman" w:hAnsi="Times New Roman" w:cs="Times New Roman"/>
          <w:noProof w:val="0"/>
          <w:sz w:val="24"/>
          <w:szCs w:val="24"/>
          <w:lang w:val="en-US"/>
        </w:rPr>
        <w:t xml:space="preserve"> that are highly pathogenic to humans were identified </w:t>
      </w:r>
      <w:r w:rsidR="009F70F5"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t>
      </w:r>
      <w:r w:rsidR="009F70F5" w:rsidRPr="000028B6">
        <w:rPr>
          <w:rFonts w:ascii="Times New Roman" w:hAnsi="Times New Roman" w:cs="Times New Roman"/>
          <w:noProof w:val="0"/>
          <w:sz w:val="24"/>
          <w:szCs w:val="24"/>
          <w:lang w:val="en-US"/>
        </w:rPr>
        <w:t xml:space="preserve">currently </w:t>
      </w:r>
      <w:r w:rsidR="0045362C" w:rsidRPr="000028B6">
        <w:rPr>
          <w:rFonts w:ascii="Times New Roman" w:hAnsi="Times New Roman" w:cs="Times New Roman"/>
          <w:noProof w:val="0"/>
          <w:sz w:val="24"/>
          <w:szCs w:val="24"/>
          <w:lang w:val="en-US"/>
        </w:rPr>
        <w:t xml:space="preserve">known </w:t>
      </w:r>
      <w:r w:rsidR="009F70F5" w:rsidRPr="000028B6">
        <w:rPr>
          <w:rFonts w:ascii="Times New Roman" w:hAnsi="Times New Roman" w:cs="Times New Roman"/>
          <w:noProof w:val="0"/>
          <w:sz w:val="24"/>
          <w:szCs w:val="24"/>
          <w:lang w:val="en-US"/>
        </w:rPr>
        <w:t>as</w:t>
      </w:r>
      <w:r w:rsidRPr="000028B6">
        <w:rPr>
          <w:rFonts w:ascii="Times New Roman" w:hAnsi="Times New Roman" w:cs="Times New Roman"/>
          <w:noProof w:val="0"/>
          <w:sz w:val="24"/>
          <w:szCs w:val="24"/>
          <w:lang w:val="en-US"/>
        </w:rPr>
        <w:t xml:space="preserve"> SARS</w:t>
      </w:r>
      <w:r w:rsidR="009F70F5" w:rsidRPr="000028B6">
        <w:rPr>
          <w:rFonts w:ascii="Times New Roman" w:hAnsi="Times New Roman" w:cs="Times New Roman"/>
          <w:noProof w:val="0"/>
          <w:sz w:val="24"/>
          <w:szCs w:val="24"/>
          <w:lang w:val="en-US"/>
        </w:rPr>
        <w:t>-CoV-1</w:t>
      </w:r>
      <w:r w:rsidRPr="000028B6">
        <w:rPr>
          <w:rFonts w:ascii="Times New Roman" w:hAnsi="Times New Roman" w:cs="Times New Roman"/>
          <w:noProof w:val="0"/>
          <w:sz w:val="24"/>
          <w:szCs w:val="24"/>
          <w:lang w:val="en-US"/>
        </w:rPr>
        <w:t xml:space="preserve"> and MERS</w:t>
      </w:r>
      <w:r w:rsidR="009F70F5" w:rsidRPr="000028B6">
        <w:rPr>
          <w:rFonts w:ascii="Times New Roman" w:hAnsi="Times New Roman" w:cs="Times New Roman"/>
          <w:noProof w:val="0"/>
          <w:sz w:val="24"/>
          <w:szCs w:val="24"/>
          <w:lang w:val="en-US"/>
        </w:rPr>
        <w:t>-CoV</w:t>
      </w:r>
      <w:r w:rsidRPr="000028B6">
        <w:rPr>
          <w:rFonts w:ascii="Times New Roman" w:hAnsi="Times New Roman" w:cs="Times New Roman"/>
          <w:noProof w:val="0"/>
          <w:sz w:val="24"/>
          <w:szCs w:val="24"/>
          <w:lang w:val="en-US"/>
        </w:rPr>
        <w:t xml:space="preserve">. In December 2019 in Wuhan, </w:t>
      </w:r>
      <w:r w:rsidR="00C03027" w:rsidRPr="000028B6">
        <w:rPr>
          <w:rFonts w:ascii="Times New Roman" w:hAnsi="Times New Roman" w:cs="Times New Roman"/>
          <w:noProof w:val="0"/>
          <w:sz w:val="24"/>
          <w:szCs w:val="24"/>
          <w:lang w:val="en-US"/>
        </w:rPr>
        <w:t>China</w:t>
      </w:r>
      <w:r w:rsidRPr="000028B6">
        <w:rPr>
          <w:rFonts w:ascii="Times New Roman" w:hAnsi="Times New Roman" w:cs="Times New Roman"/>
          <w:noProof w:val="0"/>
          <w:sz w:val="24"/>
          <w:szCs w:val="24"/>
          <w:lang w:val="en-US"/>
        </w:rPr>
        <w:t xml:space="preserve">, several cases of pneumonia </w:t>
      </w:r>
      <w:r w:rsidR="0045362C" w:rsidRPr="000028B6">
        <w:rPr>
          <w:rFonts w:ascii="Times New Roman" w:hAnsi="Times New Roman" w:cs="Times New Roman"/>
          <w:noProof w:val="0"/>
          <w:sz w:val="24"/>
          <w:szCs w:val="24"/>
          <w:lang w:val="en-US"/>
        </w:rPr>
        <w:t xml:space="preserve">were </w:t>
      </w:r>
      <w:r w:rsidRPr="000028B6">
        <w:rPr>
          <w:rFonts w:ascii="Times New Roman" w:hAnsi="Times New Roman" w:cs="Times New Roman"/>
          <w:noProof w:val="0"/>
          <w:sz w:val="24"/>
          <w:szCs w:val="24"/>
          <w:lang w:val="en-US"/>
        </w:rPr>
        <w:t xml:space="preserve">described, and </w:t>
      </w:r>
      <w:r w:rsidR="0045362C" w:rsidRPr="000028B6">
        <w:rPr>
          <w:rFonts w:ascii="Times New Roman" w:hAnsi="Times New Roman" w:cs="Times New Roman"/>
          <w:noProof w:val="0"/>
          <w:sz w:val="24"/>
          <w:szCs w:val="24"/>
          <w:lang w:val="en-US"/>
        </w:rPr>
        <w:t xml:space="preserve">in </w:t>
      </w:r>
      <w:r w:rsidRPr="000028B6">
        <w:rPr>
          <w:rFonts w:ascii="Times New Roman" w:hAnsi="Times New Roman" w:cs="Times New Roman"/>
          <w:noProof w:val="0"/>
          <w:sz w:val="24"/>
          <w:szCs w:val="24"/>
          <w:lang w:val="en-US"/>
        </w:rPr>
        <w:t>Janua</w:t>
      </w:r>
      <w:r w:rsidR="00516E47" w:rsidRPr="000028B6">
        <w:rPr>
          <w:rFonts w:ascii="Times New Roman" w:hAnsi="Times New Roman" w:cs="Times New Roman"/>
          <w:noProof w:val="0"/>
          <w:sz w:val="24"/>
          <w:szCs w:val="24"/>
          <w:lang w:val="en-US"/>
        </w:rPr>
        <w:t>r</w:t>
      </w:r>
      <w:r w:rsidRPr="000028B6">
        <w:rPr>
          <w:rFonts w:ascii="Times New Roman" w:hAnsi="Times New Roman" w:cs="Times New Roman"/>
          <w:noProof w:val="0"/>
          <w:sz w:val="24"/>
          <w:szCs w:val="24"/>
          <w:lang w:val="en-US"/>
        </w:rPr>
        <w:t xml:space="preserve">y 2020 a new type of betacoronavirus </w:t>
      </w:r>
      <w:r w:rsidR="0045362C" w:rsidRPr="000028B6">
        <w:rPr>
          <w:rFonts w:ascii="Times New Roman" w:hAnsi="Times New Roman" w:cs="Times New Roman"/>
          <w:noProof w:val="0"/>
          <w:sz w:val="24"/>
          <w:szCs w:val="24"/>
          <w:lang w:val="en-US"/>
        </w:rPr>
        <w:t xml:space="preserve">was </w:t>
      </w:r>
      <w:r w:rsidRPr="000028B6">
        <w:rPr>
          <w:rFonts w:ascii="Times New Roman" w:hAnsi="Times New Roman" w:cs="Times New Roman"/>
          <w:noProof w:val="0"/>
          <w:sz w:val="24"/>
          <w:szCs w:val="24"/>
          <w:lang w:val="en-US"/>
        </w:rPr>
        <w:t>confirmed as a</w:t>
      </w:r>
      <w:r w:rsidR="0048615F" w:rsidRPr="000028B6">
        <w:rPr>
          <w:rFonts w:ascii="Times New Roman" w:hAnsi="Times New Roman" w:cs="Times New Roman"/>
          <w:noProof w:val="0"/>
          <w:sz w:val="24"/>
          <w:szCs w:val="24"/>
          <w:lang w:val="en-US"/>
        </w:rPr>
        <w:t>n</w:t>
      </w:r>
      <w:r w:rsidRPr="000028B6">
        <w:rPr>
          <w:rFonts w:ascii="Times New Roman" w:hAnsi="Times New Roman" w:cs="Times New Roman"/>
          <w:noProof w:val="0"/>
          <w:sz w:val="24"/>
          <w:szCs w:val="24"/>
          <w:lang w:val="en-US"/>
        </w:rPr>
        <w:t xml:space="preserve"> agent. </w:t>
      </w:r>
      <w:r w:rsidR="0045362C" w:rsidRPr="000028B6">
        <w:rPr>
          <w:rFonts w:ascii="Times New Roman" w:hAnsi="Times New Roman" w:cs="Times New Roman"/>
          <w:noProof w:val="0"/>
          <w:sz w:val="24"/>
          <w:szCs w:val="24"/>
          <w:lang w:val="en-US"/>
        </w:rPr>
        <w:t xml:space="preserve">The genome of the new </w:t>
      </w:r>
      <w:r w:rsidRPr="000028B6">
        <w:rPr>
          <w:rFonts w:ascii="Times New Roman" w:hAnsi="Times New Roman" w:cs="Times New Roman"/>
          <w:noProof w:val="0"/>
          <w:sz w:val="24"/>
          <w:szCs w:val="24"/>
          <w:lang w:val="en-US"/>
        </w:rPr>
        <w:t>coronavirus</w:t>
      </w:r>
      <w:r w:rsidR="009F70F5" w:rsidRPr="000028B6">
        <w:rPr>
          <w:rFonts w:ascii="Times New Roman" w:hAnsi="Times New Roman" w:cs="Times New Roman"/>
          <w:noProof w:val="0"/>
          <w:sz w:val="24"/>
          <w:szCs w:val="24"/>
          <w:lang w:val="en-US"/>
        </w:rPr>
        <w:t xml:space="preserve"> named SARS-CoV-2</w:t>
      </w:r>
      <w:r w:rsidRPr="000028B6">
        <w:rPr>
          <w:rFonts w:ascii="Times New Roman" w:hAnsi="Times New Roman" w:cs="Times New Roman"/>
          <w:noProof w:val="0"/>
          <w:sz w:val="24"/>
          <w:szCs w:val="24"/>
          <w:lang w:val="en-US"/>
        </w:rPr>
        <w:t xml:space="preserve"> </w:t>
      </w:r>
      <w:r w:rsidR="0045362C" w:rsidRPr="000028B6">
        <w:rPr>
          <w:rFonts w:ascii="Times New Roman" w:hAnsi="Times New Roman" w:cs="Times New Roman"/>
          <w:noProof w:val="0"/>
          <w:sz w:val="24"/>
          <w:szCs w:val="24"/>
          <w:lang w:val="en-US"/>
        </w:rPr>
        <w:t xml:space="preserve">showed </w:t>
      </w:r>
      <w:r w:rsidRPr="000028B6">
        <w:rPr>
          <w:rFonts w:ascii="Times New Roman" w:hAnsi="Times New Roman" w:cs="Times New Roman"/>
          <w:noProof w:val="0"/>
          <w:sz w:val="24"/>
          <w:szCs w:val="24"/>
          <w:lang w:val="en-US"/>
        </w:rPr>
        <w:t xml:space="preserve">79% </w:t>
      </w:r>
      <w:r w:rsidR="0045362C" w:rsidRPr="000028B6">
        <w:rPr>
          <w:rFonts w:ascii="Times New Roman" w:hAnsi="Times New Roman" w:cs="Times New Roman"/>
          <w:noProof w:val="0"/>
          <w:sz w:val="24"/>
          <w:szCs w:val="24"/>
          <w:lang w:val="en-US"/>
        </w:rPr>
        <w:t xml:space="preserve">similarity </w:t>
      </w:r>
      <w:r w:rsidRPr="000028B6">
        <w:rPr>
          <w:rFonts w:ascii="Times New Roman" w:hAnsi="Times New Roman" w:cs="Times New Roman"/>
          <w:noProof w:val="0"/>
          <w:sz w:val="24"/>
          <w:szCs w:val="24"/>
          <w:lang w:val="en-US"/>
        </w:rPr>
        <w:t>with SARS</w:t>
      </w:r>
      <w:r w:rsidR="0048615F"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CoV</w:t>
      </w:r>
      <w:r w:rsidR="009F70F5" w:rsidRPr="000028B6">
        <w:rPr>
          <w:rFonts w:ascii="Times New Roman" w:hAnsi="Times New Roman" w:cs="Times New Roman"/>
          <w:noProof w:val="0"/>
          <w:sz w:val="24"/>
          <w:szCs w:val="24"/>
          <w:lang w:val="en-US"/>
        </w:rPr>
        <w:t>-1</w:t>
      </w:r>
      <w:r w:rsidRPr="000028B6">
        <w:rPr>
          <w:rFonts w:ascii="Times New Roman" w:hAnsi="Times New Roman" w:cs="Times New Roman"/>
          <w:noProof w:val="0"/>
          <w:sz w:val="24"/>
          <w:szCs w:val="24"/>
          <w:lang w:val="en-US"/>
        </w:rPr>
        <w:t xml:space="preserve"> and 50% with MERS</w:t>
      </w:r>
      <w:r w:rsidR="0048615F" w:rsidRPr="000028B6">
        <w:rPr>
          <w:rFonts w:ascii="Times New Roman" w:hAnsi="Times New Roman" w:cs="Times New Roman"/>
          <w:noProof w:val="0"/>
          <w:sz w:val="24"/>
          <w:szCs w:val="24"/>
          <w:lang w:val="en-US"/>
        </w:rPr>
        <w:t>-</w:t>
      </w:r>
      <w:r w:rsidR="00893151" w:rsidRPr="000028B6">
        <w:rPr>
          <w:rFonts w:ascii="Times New Roman" w:hAnsi="Times New Roman" w:cs="Times New Roman"/>
          <w:noProof w:val="0"/>
          <w:sz w:val="24"/>
          <w:szCs w:val="24"/>
          <w:lang w:val="en-US"/>
        </w:rPr>
        <w:t>CoV</w:t>
      </w:r>
      <w:r w:rsidRPr="000028B6">
        <w:rPr>
          <w:rFonts w:ascii="Times New Roman" w:hAnsi="Times New Roman" w:cs="Times New Roman"/>
          <w:noProof w:val="0"/>
          <w:sz w:val="24"/>
          <w:szCs w:val="24"/>
          <w:lang w:val="en-US"/>
        </w:rPr>
        <w:t xml:space="preserve">. </w:t>
      </w:r>
      <w:r w:rsidR="0048615F" w:rsidRPr="000028B6">
        <w:rPr>
          <w:rFonts w:ascii="Times New Roman" w:hAnsi="Times New Roman" w:cs="Times New Roman"/>
          <w:noProof w:val="0"/>
          <w:sz w:val="24"/>
          <w:szCs w:val="24"/>
          <w:lang w:val="en-US"/>
        </w:rPr>
        <w:t>Like all coronaviruses, it has a positive RNA strand</w:t>
      </w:r>
      <w:r w:rsidRPr="000028B6">
        <w:rPr>
          <w:rFonts w:ascii="Times New Roman" w:hAnsi="Times New Roman" w:cs="Times New Roman"/>
          <w:noProof w:val="0"/>
          <w:sz w:val="24"/>
          <w:szCs w:val="24"/>
          <w:lang w:val="en-US"/>
        </w:rPr>
        <w:t xml:space="preserve">. The full genome </w:t>
      </w:r>
      <w:r w:rsidR="00393DC5" w:rsidRPr="000028B6">
        <w:rPr>
          <w:rFonts w:ascii="Times New Roman" w:hAnsi="Times New Roman" w:cs="Times New Roman"/>
          <w:noProof w:val="0"/>
          <w:sz w:val="24"/>
          <w:szCs w:val="24"/>
          <w:lang w:val="en-US"/>
        </w:rPr>
        <w:t>sequencing</w:t>
      </w:r>
      <w:r w:rsidRPr="000028B6">
        <w:rPr>
          <w:rFonts w:ascii="Times New Roman" w:hAnsi="Times New Roman" w:cs="Times New Roman"/>
          <w:noProof w:val="0"/>
          <w:sz w:val="24"/>
          <w:szCs w:val="24"/>
          <w:lang w:val="en-US"/>
        </w:rPr>
        <w:t xml:space="preserve"> and </w:t>
      </w:r>
      <w:r w:rsidR="00393DC5" w:rsidRPr="000028B6">
        <w:rPr>
          <w:rFonts w:ascii="Times New Roman" w:hAnsi="Times New Roman" w:cs="Times New Roman"/>
          <w:noProof w:val="0"/>
          <w:sz w:val="24"/>
          <w:szCs w:val="24"/>
          <w:lang w:val="en-US"/>
        </w:rPr>
        <w:t>phylogenetic</w:t>
      </w:r>
      <w:r w:rsidRPr="000028B6">
        <w:rPr>
          <w:rFonts w:ascii="Times New Roman" w:hAnsi="Times New Roman" w:cs="Times New Roman"/>
          <w:noProof w:val="0"/>
          <w:sz w:val="24"/>
          <w:szCs w:val="24"/>
          <w:lang w:val="en-US"/>
        </w:rPr>
        <w:t xml:space="preserve"> analysis </w:t>
      </w:r>
      <w:r w:rsidR="0045362C" w:rsidRPr="000028B6">
        <w:rPr>
          <w:rFonts w:ascii="Times New Roman" w:hAnsi="Times New Roman" w:cs="Times New Roman"/>
          <w:noProof w:val="0"/>
          <w:sz w:val="24"/>
          <w:szCs w:val="24"/>
          <w:lang w:val="en-US"/>
        </w:rPr>
        <w:t xml:space="preserve">were </w:t>
      </w:r>
      <w:r w:rsidRPr="000028B6">
        <w:rPr>
          <w:rFonts w:ascii="Times New Roman" w:hAnsi="Times New Roman" w:cs="Times New Roman"/>
          <w:noProof w:val="0"/>
          <w:sz w:val="24"/>
          <w:szCs w:val="24"/>
          <w:lang w:val="en-US"/>
        </w:rPr>
        <w:t xml:space="preserve">done </w:t>
      </w:r>
      <w:r w:rsidR="0048615F" w:rsidRPr="000028B6">
        <w:rPr>
          <w:rFonts w:ascii="Times New Roman" w:hAnsi="Times New Roman" w:cs="Times New Roman"/>
          <w:noProof w:val="0"/>
          <w:sz w:val="24"/>
          <w:szCs w:val="24"/>
          <w:lang w:val="en-US"/>
        </w:rPr>
        <w:t>at</w:t>
      </w:r>
      <w:r w:rsidRPr="000028B6">
        <w:rPr>
          <w:rFonts w:ascii="Times New Roman" w:hAnsi="Times New Roman" w:cs="Times New Roman"/>
          <w:noProof w:val="0"/>
          <w:sz w:val="24"/>
          <w:szCs w:val="24"/>
          <w:lang w:val="en-US"/>
        </w:rPr>
        <w:t xml:space="preserve"> the </w:t>
      </w:r>
      <w:r w:rsidR="00393DC5" w:rsidRPr="000028B6">
        <w:rPr>
          <w:rFonts w:ascii="Times New Roman" w:hAnsi="Times New Roman" w:cs="Times New Roman"/>
          <w:noProof w:val="0"/>
          <w:sz w:val="24"/>
          <w:szCs w:val="24"/>
          <w:lang w:val="en-US"/>
        </w:rPr>
        <w:t>beginning</w:t>
      </w:r>
      <w:r w:rsidRPr="000028B6">
        <w:rPr>
          <w:rFonts w:ascii="Times New Roman" w:hAnsi="Times New Roman" w:cs="Times New Roman"/>
          <w:noProof w:val="0"/>
          <w:sz w:val="24"/>
          <w:szCs w:val="24"/>
          <w:lang w:val="en-US"/>
        </w:rPr>
        <w:t xml:space="preserve"> of 2020. </w:t>
      </w:r>
    </w:p>
    <w:p w14:paraId="1A57BDFB" w14:textId="1F0E67C2" w:rsidR="00DC215A" w:rsidRPr="000028B6" w:rsidRDefault="009A698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Emerging v</w:t>
      </w:r>
      <w:r w:rsidR="00143429" w:rsidRPr="000028B6">
        <w:rPr>
          <w:rFonts w:ascii="Times New Roman" w:hAnsi="Times New Roman" w:cs="Times New Roman"/>
          <w:b/>
          <w:bCs/>
          <w:noProof w:val="0"/>
          <w:sz w:val="24"/>
          <w:szCs w:val="24"/>
          <w:lang w:val="en-US"/>
        </w:rPr>
        <w:t>ariants</w:t>
      </w:r>
      <w:r w:rsidR="00A82E5C" w:rsidRPr="000028B6">
        <w:rPr>
          <w:rFonts w:ascii="Times New Roman" w:hAnsi="Times New Roman" w:cs="Times New Roman"/>
          <w:b/>
          <w:bCs/>
          <w:noProof w:val="0"/>
          <w:sz w:val="24"/>
          <w:szCs w:val="24"/>
          <w:lang w:val="en-US"/>
        </w:rPr>
        <w:t xml:space="preserve"> </w:t>
      </w:r>
    </w:p>
    <w:p w14:paraId="25EC2841" w14:textId="73C538C9" w:rsidR="00953EC7"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Novel emerging variants of SARS CoV-2 are of significant concern due to changes in the binding </w:t>
      </w:r>
      <w:r w:rsidR="00505555" w:rsidRPr="000028B6">
        <w:rPr>
          <w:rFonts w:ascii="Times New Roman" w:hAnsi="Times New Roman" w:cs="Times New Roman"/>
          <w:noProof w:val="0"/>
          <w:sz w:val="24"/>
          <w:szCs w:val="24"/>
          <w:lang w:val="en-US"/>
        </w:rPr>
        <w:t xml:space="preserve">affinity </w:t>
      </w:r>
      <w:r w:rsidRPr="000028B6">
        <w:rPr>
          <w:rFonts w:ascii="Times New Roman" w:hAnsi="Times New Roman" w:cs="Times New Roman"/>
          <w:noProof w:val="0"/>
          <w:sz w:val="24"/>
          <w:szCs w:val="24"/>
          <w:lang w:val="en-US"/>
        </w:rPr>
        <w:t xml:space="preserve">between the viral spike </w:t>
      </w:r>
      <w:r w:rsidR="0032477E" w:rsidRPr="000028B6">
        <w:rPr>
          <w:rFonts w:ascii="Times New Roman" w:hAnsi="Times New Roman" w:cs="Times New Roman"/>
          <w:noProof w:val="0"/>
          <w:sz w:val="24"/>
          <w:szCs w:val="24"/>
          <w:lang w:val="en-US"/>
        </w:rPr>
        <w:t xml:space="preserve">(S) </w:t>
      </w:r>
      <w:r w:rsidRPr="000028B6">
        <w:rPr>
          <w:rFonts w:ascii="Times New Roman" w:hAnsi="Times New Roman" w:cs="Times New Roman"/>
          <w:noProof w:val="0"/>
          <w:sz w:val="24"/>
          <w:szCs w:val="24"/>
          <w:lang w:val="en-US"/>
        </w:rPr>
        <w:t xml:space="preserve">protein and the ACE-2 receptor on the host cells, which may change </w:t>
      </w:r>
      <w:r w:rsidR="00296A8D"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infectivity and disease course </w:t>
      </w:r>
      <w:r w:rsidR="0097203D" w:rsidRPr="000028B6">
        <w:rPr>
          <w:rFonts w:ascii="Times New Roman" w:hAnsi="Times New Roman" w:cs="Times New Roman"/>
          <w:noProof w:val="0"/>
          <w:sz w:val="24"/>
          <w:szCs w:val="24"/>
          <w:lang w:val="en-US"/>
        </w:rPr>
        <w:t>[</w:t>
      </w:r>
      <w:r w:rsidR="00E848D4" w:rsidRPr="000028B6">
        <w:rPr>
          <w:rFonts w:ascii="Times New Roman" w:hAnsi="Times New Roman" w:cs="Times New Roman"/>
          <w:noProof w:val="0"/>
          <w:sz w:val="24"/>
          <w:szCs w:val="24"/>
          <w:lang w:val="en-US"/>
        </w:rPr>
        <w:t>10</w:t>
      </w:r>
      <w:r w:rsidR="0097203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It should be noted that viral </w:t>
      </w:r>
      <w:r w:rsidRPr="000028B6">
        <w:rPr>
          <w:rFonts w:ascii="Times New Roman" w:hAnsi="Times New Roman" w:cs="Times New Roman"/>
          <w:noProof w:val="0"/>
          <w:sz w:val="24"/>
          <w:szCs w:val="24"/>
          <w:lang w:val="en-US"/>
        </w:rPr>
        <w:lastRenderedPageBreak/>
        <w:t>replicase introduced errors allow for the emergence of random mutations in the viral genome</w:t>
      </w:r>
      <w:r w:rsidR="00505555"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t>
      </w:r>
      <w:r w:rsidR="00505555" w:rsidRPr="000028B6">
        <w:rPr>
          <w:rFonts w:ascii="Times New Roman" w:hAnsi="Times New Roman" w:cs="Times New Roman"/>
          <w:noProof w:val="0"/>
          <w:sz w:val="24"/>
          <w:szCs w:val="24"/>
          <w:lang w:val="en-US"/>
        </w:rPr>
        <w:t>E</w:t>
      </w:r>
      <w:r w:rsidRPr="000028B6">
        <w:rPr>
          <w:rFonts w:ascii="Times New Roman" w:hAnsi="Times New Roman" w:cs="Times New Roman"/>
          <w:noProof w:val="0"/>
          <w:sz w:val="24"/>
          <w:szCs w:val="24"/>
          <w:lang w:val="en-US"/>
        </w:rPr>
        <w:t>mergence of strains with higher replicative capacity and infectivity is a natural phenomenon which provides advantage to the novel strains with increased transmissibility</w:t>
      </w:r>
      <w:r w:rsidR="0097203D"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11</w:t>
      </w:r>
      <w:r w:rsidR="0097203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Variants with increased infectivity and most likely pathogenicity are becoming the dominant circulating strains and are characterized by numerous point mutations within the spike region. So far several such lineages have been identified, the key ones being the B.1.1.7 lineage first detected in the United Kingdom, B.1.351 originating from South Africa </w:t>
      </w:r>
      <w:r w:rsidR="000E5D98" w:rsidRPr="000028B6">
        <w:rPr>
          <w:rFonts w:ascii="Times New Roman" w:hAnsi="Times New Roman" w:cs="Times New Roman"/>
          <w:noProof w:val="0"/>
          <w:sz w:val="24"/>
          <w:szCs w:val="24"/>
          <w:lang w:val="en-US"/>
        </w:rPr>
        <w:t xml:space="preserve">and the </w:t>
      </w:r>
      <w:r w:rsidRPr="000028B6">
        <w:rPr>
          <w:rFonts w:ascii="Times New Roman" w:hAnsi="Times New Roman" w:cs="Times New Roman"/>
          <w:noProof w:val="0"/>
          <w:sz w:val="24"/>
          <w:szCs w:val="24"/>
          <w:lang w:val="en-US"/>
        </w:rPr>
        <w:t xml:space="preserve">P.1 lineage from Brazil </w:t>
      </w:r>
      <w:r w:rsidR="0097203D" w:rsidRPr="000028B6">
        <w:rPr>
          <w:rFonts w:ascii="Times New Roman" w:hAnsi="Times New Roman" w:cs="Times New Roman"/>
          <w:noProof w:val="0"/>
          <w:sz w:val="24"/>
          <w:szCs w:val="24"/>
          <w:lang w:val="en-US"/>
        </w:rPr>
        <w:t>[</w:t>
      </w:r>
      <w:r w:rsidR="00E848D4" w:rsidRPr="000028B6">
        <w:rPr>
          <w:rFonts w:ascii="Times New Roman" w:hAnsi="Times New Roman" w:cs="Times New Roman"/>
          <w:noProof w:val="0"/>
          <w:sz w:val="24"/>
          <w:szCs w:val="24"/>
          <w:lang w:val="en-US"/>
        </w:rPr>
        <w:t>12</w:t>
      </w:r>
      <w:r w:rsidR="0097203D"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13</w:t>
      </w:r>
      <w:r w:rsidR="0097203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These variants of concern are likely </w:t>
      </w:r>
      <w:r w:rsidR="000E5D98"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cause of the epidemic waves observed in multiple countries, and the likelihood of further spread is assessed as high, which may lead to </w:t>
      </w:r>
      <w:r w:rsidR="000E5D98" w:rsidRPr="000028B6">
        <w:rPr>
          <w:rFonts w:ascii="Times New Roman" w:hAnsi="Times New Roman" w:cs="Times New Roman"/>
          <w:noProof w:val="0"/>
          <w:sz w:val="24"/>
          <w:szCs w:val="24"/>
          <w:lang w:val="en-US"/>
        </w:rPr>
        <w:t xml:space="preserve">an </w:t>
      </w:r>
      <w:r w:rsidRPr="000028B6">
        <w:rPr>
          <w:rFonts w:ascii="Times New Roman" w:hAnsi="Times New Roman" w:cs="Times New Roman"/>
          <w:noProof w:val="0"/>
          <w:sz w:val="24"/>
          <w:szCs w:val="24"/>
          <w:lang w:val="en-US"/>
        </w:rPr>
        <w:t>increase in the hospitalization rates and pressure on the health systems</w:t>
      </w:r>
      <w:r w:rsidR="0097203D"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14</w:t>
      </w:r>
      <w:r w:rsidR="0097203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Also, vaccine responses</w:t>
      </w:r>
      <w:r w:rsidR="00505555"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infectivity periods</w:t>
      </w:r>
      <w:r w:rsidR="00505555" w:rsidRPr="000028B6">
        <w:rPr>
          <w:rFonts w:ascii="Times New Roman" w:hAnsi="Times New Roman" w:cs="Times New Roman"/>
          <w:noProof w:val="0"/>
          <w:sz w:val="24"/>
          <w:szCs w:val="24"/>
          <w:lang w:val="en-US"/>
        </w:rPr>
        <w:t xml:space="preserve"> and mortality</w:t>
      </w:r>
      <w:r w:rsidRPr="000028B6">
        <w:rPr>
          <w:rFonts w:ascii="Times New Roman" w:hAnsi="Times New Roman" w:cs="Times New Roman"/>
          <w:noProof w:val="0"/>
          <w:sz w:val="24"/>
          <w:szCs w:val="24"/>
          <w:lang w:val="en-US"/>
        </w:rPr>
        <w:t xml:space="preserve"> have differed depending on the variant</w:t>
      </w:r>
      <w:r w:rsidR="000C643A"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15</w:t>
      </w:r>
      <w:r w:rsidR="000C643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Molecular surveillance on the emergence and transmission of the novel variants may be achieved by scaling up the sequencing capacity and systematic population sampling.</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Knowledge on the genomic variation may provide </w:t>
      </w:r>
      <w:r w:rsidR="000E5D98"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basis for understanding of the spatio-temporal transmission patterns, vaccine efficacy and differences in the clinical course of the disease.</w:t>
      </w:r>
    </w:p>
    <w:p w14:paraId="3320002E" w14:textId="4612E011" w:rsidR="00DC215A" w:rsidRPr="000028B6" w:rsidRDefault="009A698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Pathogenesis</w:t>
      </w:r>
      <w:r w:rsidR="00E613B0" w:rsidRPr="000028B6">
        <w:rPr>
          <w:rFonts w:ascii="Times New Roman" w:hAnsi="Times New Roman" w:cs="Times New Roman"/>
          <w:b/>
          <w:bCs/>
          <w:noProof w:val="0"/>
          <w:sz w:val="24"/>
          <w:szCs w:val="24"/>
          <w:lang w:val="en-US"/>
        </w:rPr>
        <w:t xml:space="preserve"> </w:t>
      </w:r>
    </w:p>
    <w:p w14:paraId="16214487" w14:textId="3374CBB1" w:rsidR="008A10D7" w:rsidRPr="000028B6" w:rsidRDefault="008A10D7"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SARS-CoV-2 spreads through respiratory droplet transmission, contaminated objects</w:t>
      </w:r>
      <w:r w:rsidR="000E5D98" w:rsidRPr="000028B6">
        <w:rPr>
          <w:rFonts w:ascii="Times New Roman" w:hAnsi="Times New Roman" w:cs="Times New Roman"/>
          <w:noProof w:val="0"/>
          <w:sz w:val="24"/>
          <w:szCs w:val="24"/>
          <w:lang w:val="en-US"/>
        </w:rPr>
        <w:t xml:space="preserve"> and </w:t>
      </w:r>
      <w:r w:rsidRPr="000028B6">
        <w:rPr>
          <w:rFonts w:ascii="Times New Roman" w:hAnsi="Times New Roman" w:cs="Times New Roman"/>
          <w:noProof w:val="0"/>
          <w:sz w:val="24"/>
          <w:szCs w:val="24"/>
          <w:lang w:val="en-US"/>
        </w:rPr>
        <w:t xml:space="preserve">surfaces and enters host cells </w:t>
      </w:r>
      <w:r w:rsidR="00CB7218" w:rsidRPr="000028B6">
        <w:rPr>
          <w:rFonts w:ascii="Times New Roman" w:hAnsi="Times New Roman" w:cs="Times New Roman"/>
          <w:noProof w:val="0"/>
          <w:sz w:val="24"/>
          <w:szCs w:val="24"/>
          <w:lang w:val="en-US"/>
        </w:rPr>
        <w:t>via</w:t>
      </w:r>
      <w:r w:rsidRPr="000028B6">
        <w:rPr>
          <w:rFonts w:ascii="Times New Roman" w:hAnsi="Times New Roman" w:cs="Times New Roman"/>
          <w:noProof w:val="0"/>
          <w:sz w:val="24"/>
          <w:szCs w:val="24"/>
          <w:lang w:val="en-US"/>
        </w:rPr>
        <w:t xml:space="preserve"> </w:t>
      </w:r>
      <w:r w:rsidR="003A27F9"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functional cell receptor angiotensin converting enzyme II </w:t>
      </w:r>
      <w:r w:rsidR="003A27F9"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ACE</w:t>
      </w:r>
      <w:r w:rsidR="0032477E"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2</w:t>
      </w:r>
      <w:r w:rsidR="003A27F9"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with </w:t>
      </w:r>
      <w:r w:rsidR="003A27F9"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support of transmembrane serine protease 2 (TMPRSS2) and integrins. The S proteins of SARS-CoV-2 bind to the ACE-2 r</w:t>
      </w:r>
      <w:r w:rsidR="00D64743" w:rsidRPr="000028B6">
        <w:rPr>
          <w:rFonts w:ascii="Times New Roman" w:hAnsi="Times New Roman" w:cs="Times New Roman"/>
          <w:noProof w:val="0"/>
          <w:sz w:val="24"/>
          <w:szCs w:val="24"/>
          <w:lang w:val="en-US"/>
        </w:rPr>
        <w:t>eceptor</w:t>
      </w:r>
      <w:r w:rsidRPr="000028B6">
        <w:rPr>
          <w:rFonts w:ascii="Times New Roman" w:hAnsi="Times New Roman" w:cs="Times New Roman"/>
          <w:noProof w:val="0"/>
          <w:sz w:val="24"/>
          <w:szCs w:val="24"/>
          <w:lang w:val="en-US"/>
        </w:rPr>
        <w:t xml:space="preserve">, localized </w:t>
      </w:r>
      <w:r w:rsidR="009F70F5" w:rsidRPr="000028B6">
        <w:rPr>
          <w:rFonts w:ascii="Times New Roman" w:hAnsi="Times New Roman" w:cs="Times New Roman"/>
          <w:i/>
          <w:iCs/>
          <w:noProof w:val="0"/>
          <w:sz w:val="24"/>
          <w:szCs w:val="24"/>
          <w:lang w:val="en-US"/>
        </w:rPr>
        <w:t xml:space="preserve">inter alia </w:t>
      </w:r>
      <w:r w:rsidRPr="000028B6">
        <w:rPr>
          <w:rFonts w:ascii="Times New Roman" w:hAnsi="Times New Roman" w:cs="Times New Roman"/>
          <w:noProof w:val="0"/>
          <w:sz w:val="24"/>
          <w:szCs w:val="24"/>
          <w:lang w:val="en-US"/>
        </w:rPr>
        <w:t>on alveolar epithelial</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type 2 (AT2) cells. ACE</w:t>
      </w:r>
      <w:r w:rsidR="0032477E"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2 receptors are moreover</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highly expressed</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on the tubular epithelium of the upper esophagus,</w:t>
      </w:r>
      <w:r w:rsidR="00CB7218"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absorptive enterocytes of</w:t>
      </w:r>
      <w:r w:rsidR="003A27F9" w:rsidRPr="000028B6">
        <w:rPr>
          <w:rFonts w:ascii="Times New Roman" w:hAnsi="Times New Roman" w:cs="Times New Roman"/>
          <w:noProof w:val="0"/>
          <w:sz w:val="24"/>
          <w:szCs w:val="24"/>
          <w:lang w:val="en-US"/>
        </w:rPr>
        <w:t xml:space="preserve"> the</w:t>
      </w:r>
      <w:r w:rsidRPr="000028B6">
        <w:rPr>
          <w:rFonts w:ascii="Times New Roman" w:hAnsi="Times New Roman" w:cs="Times New Roman"/>
          <w:noProof w:val="0"/>
          <w:sz w:val="24"/>
          <w:szCs w:val="24"/>
          <w:lang w:val="en-US"/>
        </w:rPr>
        <w:t xml:space="preserve"> ileum and colon, in </w:t>
      </w:r>
      <w:r w:rsidR="003A27F9"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kidney, heart, pancreas, and</w:t>
      </w:r>
      <w:r w:rsidR="003A27F9"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what is </w:t>
      </w:r>
      <w:r w:rsidR="00CB7218" w:rsidRPr="000028B6">
        <w:rPr>
          <w:rFonts w:ascii="Times New Roman" w:hAnsi="Times New Roman" w:cs="Times New Roman"/>
          <w:noProof w:val="0"/>
          <w:sz w:val="24"/>
          <w:szCs w:val="24"/>
          <w:lang w:val="en-US"/>
        </w:rPr>
        <w:t>pathogenically</w:t>
      </w:r>
      <w:r w:rsidRPr="000028B6">
        <w:rPr>
          <w:rFonts w:ascii="Times New Roman" w:hAnsi="Times New Roman" w:cs="Times New Roman"/>
          <w:noProof w:val="0"/>
          <w:sz w:val="24"/>
          <w:szCs w:val="24"/>
          <w:lang w:val="en-US"/>
        </w:rPr>
        <w:t xml:space="preserve"> important, in arterial and venous endothelial cells and arterial smooth muscle cells [</w:t>
      </w:r>
      <w:r w:rsidR="00E848D4" w:rsidRPr="000028B6">
        <w:rPr>
          <w:rFonts w:ascii="Times New Roman" w:hAnsi="Times New Roman" w:cs="Times New Roman"/>
          <w:noProof w:val="0"/>
          <w:sz w:val="24"/>
          <w:szCs w:val="24"/>
          <w:lang w:val="en-US"/>
        </w:rPr>
        <w:t>16</w:t>
      </w:r>
      <w:r w:rsidRPr="000028B6">
        <w:rPr>
          <w:rFonts w:ascii="Times New Roman" w:hAnsi="Times New Roman" w:cs="Times New Roman"/>
          <w:noProof w:val="0"/>
          <w:sz w:val="24"/>
          <w:szCs w:val="24"/>
          <w:lang w:val="en-US"/>
        </w:rPr>
        <w:t>]. Immune responses induced by SARS-</w:t>
      </w:r>
      <w:r w:rsidRPr="000028B6">
        <w:rPr>
          <w:rFonts w:ascii="Times New Roman" w:hAnsi="Times New Roman" w:cs="Times New Roman"/>
          <w:noProof w:val="0"/>
          <w:sz w:val="24"/>
          <w:szCs w:val="24"/>
          <w:lang w:val="en-US"/>
        </w:rPr>
        <w:lastRenderedPageBreak/>
        <w:t>Co</w:t>
      </w:r>
      <w:r w:rsidR="0032477E" w:rsidRPr="000028B6">
        <w:rPr>
          <w:rFonts w:ascii="Times New Roman" w:hAnsi="Times New Roman" w:cs="Times New Roman"/>
          <w:noProof w:val="0"/>
          <w:sz w:val="24"/>
          <w:szCs w:val="24"/>
          <w:lang w:val="en-US"/>
        </w:rPr>
        <w:t>V</w:t>
      </w:r>
      <w:r w:rsidRPr="000028B6">
        <w:rPr>
          <w:rFonts w:ascii="Times New Roman" w:hAnsi="Times New Roman" w:cs="Times New Roman"/>
          <w:noProof w:val="0"/>
          <w:sz w:val="24"/>
          <w:szCs w:val="24"/>
          <w:lang w:val="en-US"/>
        </w:rPr>
        <w:t>-2 are biphasic [</w:t>
      </w:r>
      <w:r w:rsidR="00E848D4" w:rsidRPr="000028B6">
        <w:rPr>
          <w:rFonts w:ascii="Times New Roman" w:hAnsi="Times New Roman" w:cs="Times New Roman"/>
          <w:noProof w:val="0"/>
          <w:sz w:val="24"/>
          <w:szCs w:val="24"/>
          <w:lang w:val="en-US"/>
        </w:rPr>
        <w:t>16</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17</w:t>
      </w:r>
      <w:r w:rsidRPr="000028B6">
        <w:rPr>
          <w:rFonts w:ascii="Times New Roman" w:hAnsi="Times New Roman" w:cs="Times New Roman"/>
          <w:noProof w:val="0"/>
          <w:sz w:val="24"/>
          <w:szCs w:val="24"/>
          <w:lang w:val="en-US"/>
        </w:rPr>
        <w:t>]. During the incubation period</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and early stages of the infection a specific adaptive immune response can eliminate</w:t>
      </w:r>
      <w:r w:rsidR="003A27F9" w:rsidRPr="000028B6">
        <w:rPr>
          <w:rFonts w:ascii="Times New Roman" w:hAnsi="Times New Roman" w:cs="Times New Roman"/>
          <w:noProof w:val="0"/>
          <w:sz w:val="24"/>
          <w:szCs w:val="24"/>
          <w:lang w:val="en-US"/>
        </w:rPr>
        <w:t xml:space="preserve"> the</w:t>
      </w:r>
      <w:r w:rsidRPr="000028B6">
        <w:rPr>
          <w:rFonts w:ascii="Times New Roman" w:hAnsi="Times New Roman" w:cs="Times New Roman"/>
          <w:noProof w:val="0"/>
          <w:sz w:val="24"/>
          <w:szCs w:val="24"/>
          <w:lang w:val="en-US"/>
        </w:rPr>
        <w:t xml:space="preserve"> </w:t>
      </w:r>
      <w:r w:rsidR="0099322F" w:rsidRPr="000028B6">
        <w:rPr>
          <w:rFonts w:ascii="Times New Roman" w:hAnsi="Times New Roman" w:cs="Times New Roman"/>
          <w:noProof w:val="0"/>
          <w:sz w:val="24"/>
          <w:szCs w:val="24"/>
          <w:lang w:val="en-US"/>
        </w:rPr>
        <w:t>infection</w:t>
      </w:r>
      <w:r w:rsidRPr="000028B6">
        <w:rPr>
          <w:rFonts w:ascii="Times New Roman" w:hAnsi="Times New Roman" w:cs="Times New Roman"/>
          <w:noProof w:val="0"/>
          <w:sz w:val="24"/>
          <w:szCs w:val="24"/>
          <w:lang w:val="en-US"/>
        </w:rPr>
        <w:t xml:space="preserve"> and blocks progression to more severe stages of this disease. It has been confirmed that susceptibility to various infectious </w:t>
      </w:r>
      <w:r w:rsidR="00CB7218" w:rsidRPr="000028B6">
        <w:rPr>
          <w:rFonts w:ascii="Times New Roman" w:hAnsi="Times New Roman" w:cs="Times New Roman"/>
          <w:noProof w:val="0"/>
          <w:sz w:val="24"/>
          <w:szCs w:val="24"/>
          <w:lang w:val="en-US"/>
        </w:rPr>
        <w:t>diseases</w:t>
      </w:r>
      <w:r w:rsidRPr="000028B6">
        <w:rPr>
          <w:rFonts w:ascii="Times New Roman" w:hAnsi="Times New Roman" w:cs="Times New Roman"/>
          <w:noProof w:val="0"/>
          <w:sz w:val="24"/>
          <w:szCs w:val="24"/>
          <w:lang w:val="en-US"/>
        </w:rPr>
        <w:t xml:space="preserve"> is associated with specific HLA haplotypes</w:t>
      </w:r>
      <w:r w:rsidR="00CB7218"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In patients with impaired immune responses (e</w:t>
      </w:r>
      <w:r w:rsidR="00893151"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g. older people with underlying diseases</w:t>
      </w:r>
      <w:r w:rsidR="003A27F9"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young persons with impaired or dysregulated B-cell and T-cell immune responses) </w:t>
      </w:r>
      <w:r w:rsidR="003A27F9"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virus will rapidly replicate with massive destruction of all cells with high ACE2 expression, e</w:t>
      </w:r>
      <w:r w:rsidR="00893151"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g. alveolar epithelial</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type 2 (AT2)</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in</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lungs. This induce</w:t>
      </w:r>
      <w:r w:rsidR="0032477E" w:rsidRPr="000028B6">
        <w:rPr>
          <w:rFonts w:ascii="Times New Roman" w:hAnsi="Times New Roman" w:cs="Times New Roman"/>
          <w:noProof w:val="0"/>
          <w:sz w:val="24"/>
          <w:szCs w:val="24"/>
          <w:lang w:val="en-US"/>
        </w:rPr>
        <w:t>s</w:t>
      </w:r>
      <w:r w:rsidRPr="000028B6">
        <w:rPr>
          <w:rFonts w:ascii="Times New Roman" w:hAnsi="Times New Roman" w:cs="Times New Roman"/>
          <w:noProof w:val="0"/>
          <w:sz w:val="24"/>
          <w:szCs w:val="24"/>
          <w:lang w:val="en-US"/>
        </w:rPr>
        <w:t xml:space="preserve"> innate inflammation in</w:t>
      </w:r>
      <w:r w:rsidR="003A27F9" w:rsidRPr="000028B6">
        <w:rPr>
          <w:rFonts w:ascii="Times New Roman" w:hAnsi="Times New Roman" w:cs="Times New Roman"/>
          <w:noProof w:val="0"/>
          <w:sz w:val="24"/>
          <w:szCs w:val="24"/>
          <w:lang w:val="en-US"/>
        </w:rPr>
        <w:t xml:space="preserve"> the</w:t>
      </w:r>
      <w:r w:rsidRPr="000028B6">
        <w:rPr>
          <w:rFonts w:ascii="Times New Roman" w:hAnsi="Times New Roman" w:cs="Times New Roman"/>
          <w:noProof w:val="0"/>
          <w:sz w:val="24"/>
          <w:szCs w:val="24"/>
          <w:lang w:val="en-US"/>
        </w:rPr>
        <w:t xml:space="preserve"> lungs, mediated by proinflammatory granulocytes and macrophages. Activated macrophages release </w:t>
      </w:r>
      <w:r w:rsidR="00CB7218" w:rsidRPr="000028B6">
        <w:rPr>
          <w:rFonts w:ascii="Times New Roman" w:hAnsi="Times New Roman" w:cs="Times New Roman"/>
          <w:noProof w:val="0"/>
          <w:sz w:val="24"/>
          <w:szCs w:val="24"/>
          <w:lang w:val="en-US"/>
        </w:rPr>
        <w:t xml:space="preserve">over </w:t>
      </w:r>
      <w:r w:rsidRPr="000028B6">
        <w:rPr>
          <w:rFonts w:ascii="Times New Roman" w:hAnsi="Times New Roman" w:cs="Times New Roman"/>
          <w:noProof w:val="0"/>
          <w:sz w:val="24"/>
          <w:szCs w:val="24"/>
          <w:lang w:val="en-US"/>
        </w:rPr>
        <w:t>100 cytokines (e</w:t>
      </w:r>
      <w:r w:rsidR="00893151"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g</w:t>
      </w:r>
      <w:r w:rsidR="00893151"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IL-1, IL-6, and TNFα) and chemokines (CXCL10 and CCL2) into the bloodstream (cytokine release storm-CRS) [</w:t>
      </w:r>
      <w:r w:rsidR="00E848D4" w:rsidRPr="000028B6">
        <w:rPr>
          <w:rFonts w:ascii="Times New Roman" w:hAnsi="Times New Roman" w:cs="Times New Roman"/>
          <w:noProof w:val="0"/>
          <w:sz w:val="24"/>
          <w:szCs w:val="24"/>
          <w:lang w:val="en-US"/>
        </w:rPr>
        <w:t>18</w:t>
      </w:r>
      <w:r w:rsidRPr="000028B6">
        <w:rPr>
          <w:rFonts w:ascii="Times New Roman" w:hAnsi="Times New Roman" w:cs="Times New Roman"/>
          <w:noProof w:val="0"/>
          <w:sz w:val="24"/>
          <w:szCs w:val="24"/>
          <w:lang w:val="en-US"/>
        </w:rPr>
        <w:t xml:space="preserve">]. </w:t>
      </w:r>
      <w:r w:rsidR="003A27F9" w:rsidRPr="000028B6">
        <w:rPr>
          <w:rFonts w:ascii="Times New Roman" w:hAnsi="Times New Roman" w:cs="Times New Roman"/>
          <w:noProof w:val="0"/>
          <w:sz w:val="24"/>
          <w:szCs w:val="24"/>
          <w:lang w:val="en-US"/>
        </w:rPr>
        <w:t xml:space="preserve">These </w:t>
      </w:r>
      <w:r w:rsidRPr="000028B6">
        <w:rPr>
          <w:rFonts w:ascii="Times New Roman" w:hAnsi="Times New Roman" w:cs="Times New Roman"/>
          <w:noProof w:val="0"/>
          <w:sz w:val="24"/>
          <w:szCs w:val="24"/>
          <w:lang w:val="en-US"/>
        </w:rPr>
        <w:t>events, endothelial dysfunction</w:t>
      </w:r>
      <w:r w:rsidR="003A27F9"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w:t>
      </w:r>
      <w:r w:rsidR="003A27F9" w:rsidRPr="000028B6">
        <w:rPr>
          <w:rFonts w:ascii="Times New Roman" w:hAnsi="Times New Roman" w:cs="Times New Roman"/>
          <w:noProof w:val="0"/>
          <w:sz w:val="24"/>
          <w:szCs w:val="24"/>
          <w:lang w:val="en-US"/>
        </w:rPr>
        <w:t>endotheliitis</w:t>
      </w:r>
      <w:r w:rsidRPr="000028B6">
        <w:rPr>
          <w:rFonts w:ascii="Times New Roman" w:hAnsi="Times New Roman" w:cs="Times New Roman"/>
          <w:noProof w:val="0"/>
          <w:sz w:val="24"/>
          <w:szCs w:val="24"/>
          <w:lang w:val="en-US"/>
        </w:rPr>
        <w:t>) and procoagulant state le</w:t>
      </w:r>
      <w:r w:rsidR="003A27F9" w:rsidRPr="000028B6">
        <w:rPr>
          <w:rFonts w:ascii="Times New Roman" w:hAnsi="Times New Roman" w:cs="Times New Roman"/>
          <w:noProof w:val="0"/>
          <w:sz w:val="24"/>
          <w:szCs w:val="24"/>
          <w:lang w:val="en-US"/>
        </w:rPr>
        <w:t>a</w:t>
      </w:r>
      <w:r w:rsidRPr="000028B6">
        <w:rPr>
          <w:rFonts w:ascii="Times New Roman" w:hAnsi="Times New Roman" w:cs="Times New Roman"/>
          <w:noProof w:val="0"/>
          <w:sz w:val="24"/>
          <w:szCs w:val="24"/>
          <w:lang w:val="en-US"/>
        </w:rPr>
        <w:t>d to the life-threatening acute respiratory distress syndrome</w:t>
      </w:r>
      <w:r w:rsidR="00CB7218"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(ARDS) and impaired function of </w:t>
      </w:r>
      <w:r w:rsidR="003A27F9" w:rsidRPr="000028B6">
        <w:rPr>
          <w:rFonts w:ascii="Times New Roman" w:hAnsi="Times New Roman" w:cs="Times New Roman"/>
          <w:noProof w:val="0"/>
          <w:sz w:val="24"/>
          <w:szCs w:val="24"/>
          <w:lang w:val="en-US"/>
        </w:rPr>
        <w:t xml:space="preserve">other organs </w:t>
      </w:r>
      <w:r w:rsidRPr="000028B6">
        <w:rPr>
          <w:rFonts w:ascii="Times New Roman" w:hAnsi="Times New Roman" w:cs="Times New Roman"/>
          <w:noProof w:val="0"/>
          <w:sz w:val="24"/>
          <w:szCs w:val="24"/>
          <w:lang w:val="en-US"/>
        </w:rPr>
        <w:t>[</w:t>
      </w:r>
      <w:r w:rsidR="00E848D4" w:rsidRPr="000028B6">
        <w:rPr>
          <w:rFonts w:ascii="Times New Roman" w:hAnsi="Times New Roman" w:cs="Times New Roman"/>
          <w:noProof w:val="0"/>
          <w:sz w:val="24"/>
          <w:szCs w:val="24"/>
          <w:lang w:val="en-US"/>
        </w:rPr>
        <w:t>19</w:t>
      </w:r>
      <w:r w:rsidRPr="000028B6">
        <w:rPr>
          <w:rFonts w:ascii="Times New Roman" w:hAnsi="Times New Roman" w:cs="Times New Roman"/>
          <w:noProof w:val="0"/>
          <w:sz w:val="24"/>
          <w:szCs w:val="24"/>
          <w:lang w:val="en-US"/>
        </w:rPr>
        <w:t xml:space="preserve">]. </w:t>
      </w:r>
    </w:p>
    <w:p w14:paraId="6DB3AED0" w14:textId="2DFDA758" w:rsidR="00DC215A" w:rsidRPr="000028B6" w:rsidRDefault="009A698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Clinical picture of the disease</w:t>
      </w:r>
    </w:p>
    <w:p w14:paraId="62974D8A" w14:textId="34E7DBC5" w:rsidR="00F82472" w:rsidRPr="000028B6" w:rsidRDefault="00F82472"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The median incubation period for COVID-19 is 5.1 days, </w:t>
      </w:r>
      <w:r w:rsidR="003A27F9" w:rsidRPr="000028B6">
        <w:rPr>
          <w:rFonts w:ascii="Times New Roman" w:hAnsi="Times New Roman" w:cs="Times New Roman"/>
          <w:noProof w:val="0"/>
          <w:sz w:val="24"/>
          <w:szCs w:val="24"/>
          <w:lang w:val="en-US"/>
        </w:rPr>
        <w:t xml:space="preserve">and </w:t>
      </w:r>
      <w:r w:rsidRPr="000028B6">
        <w:rPr>
          <w:rFonts w:ascii="Times New Roman" w:hAnsi="Times New Roman" w:cs="Times New Roman"/>
          <w:noProof w:val="0"/>
          <w:sz w:val="24"/>
          <w:szCs w:val="24"/>
          <w:lang w:val="en-US"/>
        </w:rPr>
        <w:t>97.5% of all infections develop within 11.5 days [</w:t>
      </w:r>
      <w:r w:rsidR="00E848D4" w:rsidRPr="000028B6">
        <w:rPr>
          <w:rFonts w:ascii="Times New Roman" w:hAnsi="Times New Roman" w:cs="Times New Roman"/>
          <w:noProof w:val="0"/>
          <w:sz w:val="24"/>
          <w:szCs w:val="24"/>
          <w:lang w:val="en-US"/>
        </w:rPr>
        <w:t>20</w:t>
      </w:r>
      <w:r w:rsidRPr="000028B6">
        <w:rPr>
          <w:rFonts w:ascii="Times New Roman" w:hAnsi="Times New Roman" w:cs="Times New Roman"/>
          <w:noProof w:val="0"/>
          <w:sz w:val="24"/>
          <w:szCs w:val="24"/>
          <w:lang w:val="en-US"/>
        </w:rPr>
        <w:t>]. Infection with SARS-CoV-2 has a broad clinical spectrum from asymptomatic, oligosymptomatic to moderate or severe disease with multiorgan failure. The rate of asymptomatic infections ranges from 27 to 40%. Overall, approximately 90% of infections are uncomplicated, oligosymptomatic or with moderate symptoms not leading to hospitalization [</w:t>
      </w:r>
      <w:r w:rsidR="00E848D4" w:rsidRPr="000028B6">
        <w:rPr>
          <w:rFonts w:ascii="Times New Roman" w:hAnsi="Times New Roman" w:cs="Times New Roman"/>
          <w:noProof w:val="0"/>
          <w:sz w:val="24"/>
          <w:szCs w:val="24"/>
          <w:lang w:val="en-US"/>
        </w:rPr>
        <w:t>21</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22</w:t>
      </w:r>
      <w:r w:rsidRPr="000028B6">
        <w:rPr>
          <w:rFonts w:ascii="Times New Roman" w:hAnsi="Times New Roman" w:cs="Times New Roman"/>
          <w:noProof w:val="0"/>
          <w:sz w:val="24"/>
          <w:szCs w:val="24"/>
          <w:lang w:val="en-US"/>
        </w:rPr>
        <w:t>]. Older age and co-morbidities, such as hypertension, chronic cardiac, pulmonary or kidney disease, diabetes, obesity as well as immunosuppression, and cancer are risk factors for severe disease and death [</w:t>
      </w:r>
      <w:r w:rsidR="00E848D4" w:rsidRPr="000028B6">
        <w:rPr>
          <w:rFonts w:ascii="Times New Roman" w:hAnsi="Times New Roman" w:cs="Times New Roman"/>
          <w:noProof w:val="0"/>
          <w:sz w:val="24"/>
          <w:szCs w:val="24"/>
          <w:lang w:val="en-US"/>
        </w:rPr>
        <w:t>23</w:t>
      </w:r>
      <w:r w:rsidRPr="000028B6">
        <w:rPr>
          <w:rFonts w:ascii="Times New Roman" w:hAnsi="Times New Roman" w:cs="Times New Roman"/>
          <w:noProof w:val="0"/>
          <w:sz w:val="24"/>
          <w:szCs w:val="24"/>
          <w:lang w:val="en-US"/>
        </w:rPr>
        <w:t>].</w:t>
      </w:r>
    </w:p>
    <w:p w14:paraId="61868DA2" w14:textId="0E36C57F" w:rsidR="00F82472" w:rsidRPr="000028B6" w:rsidRDefault="00F82472"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Stage 1 of </w:t>
      </w:r>
      <w:r w:rsidR="003A27F9"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disease </w:t>
      </w:r>
      <w:r w:rsidR="003A27F9" w:rsidRPr="000028B6">
        <w:rPr>
          <w:rFonts w:ascii="Times New Roman" w:hAnsi="Times New Roman" w:cs="Times New Roman"/>
          <w:noProof w:val="0"/>
          <w:sz w:val="24"/>
          <w:szCs w:val="24"/>
          <w:lang w:val="en-US"/>
        </w:rPr>
        <w:t xml:space="preserve">includes </w:t>
      </w:r>
      <w:r w:rsidRPr="000028B6">
        <w:rPr>
          <w:rFonts w:ascii="Times New Roman" w:hAnsi="Times New Roman" w:cs="Times New Roman"/>
          <w:noProof w:val="0"/>
          <w:sz w:val="24"/>
          <w:szCs w:val="24"/>
          <w:lang w:val="en-US"/>
        </w:rPr>
        <w:t xml:space="preserve">asymptomatic and mildly symptomatic patients with </w:t>
      </w:r>
      <w:r w:rsidR="00AE3BE1" w:rsidRPr="000028B6">
        <w:rPr>
          <w:rFonts w:ascii="Times New Roman" w:hAnsi="Times New Roman" w:cs="Times New Roman"/>
          <w:noProof w:val="0"/>
          <w:sz w:val="24"/>
          <w:szCs w:val="24"/>
          <w:lang w:val="en-US"/>
        </w:rPr>
        <w:t>SpO2≥94%</w:t>
      </w:r>
      <w:r w:rsidRPr="000028B6">
        <w:rPr>
          <w:rFonts w:ascii="Times New Roman" w:hAnsi="Times New Roman" w:cs="Times New Roman"/>
          <w:noProof w:val="0"/>
          <w:sz w:val="24"/>
          <w:szCs w:val="24"/>
          <w:lang w:val="en-US"/>
        </w:rPr>
        <w:t xml:space="preserve"> on room air not </w:t>
      </w:r>
      <w:r w:rsidR="00CB7218" w:rsidRPr="000028B6">
        <w:rPr>
          <w:rFonts w:ascii="Times New Roman" w:hAnsi="Times New Roman" w:cs="Times New Roman"/>
          <w:noProof w:val="0"/>
          <w:sz w:val="24"/>
          <w:szCs w:val="24"/>
          <w:lang w:val="en-US"/>
        </w:rPr>
        <w:t xml:space="preserve">requiring </w:t>
      </w:r>
      <w:r w:rsidRPr="000028B6">
        <w:rPr>
          <w:rFonts w:ascii="Times New Roman" w:hAnsi="Times New Roman" w:cs="Times New Roman"/>
          <w:noProof w:val="0"/>
          <w:sz w:val="24"/>
          <w:szCs w:val="24"/>
          <w:lang w:val="en-US"/>
        </w:rPr>
        <w:t xml:space="preserve">hospitalization. The symptoms of COVID-19 present at illness onset vary and most of them are non-specific, but mainly include: fever, chills, cough, </w:t>
      </w:r>
      <w:r w:rsidRPr="000028B6">
        <w:rPr>
          <w:rFonts w:ascii="Times New Roman" w:hAnsi="Times New Roman" w:cs="Times New Roman"/>
          <w:noProof w:val="0"/>
          <w:sz w:val="24"/>
          <w:szCs w:val="24"/>
          <w:lang w:val="en-US"/>
        </w:rPr>
        <w:lastRenderedPageBreak/>
        <w:t>shortness of breath or difficulty breathing, fatigue, muscle or body aches, headache, sore throat, runny nose, and conjunctivitis. Some patients also experience gastrointestinal symptoms, such as anorexia, nausea, vomiting diarrhea, and abdominal pain. New loss of smell (anosmia) or taste (ageusia) may be the sole presenting symptom, especially among women and younger or middle-aged patients [</w:t>
      </w:r>
      <w:r w:rsidR="00E848D4" w:rsidRPr="000028B6">
        <w:rPr>
          <w:rFonts w:ascii="Times New Roman" w:hAnsi="Times New Roman" w:cs="Times New Roman"/>
          <w:noProof w:val="0"/>
          <w:sz w:val="24"/>
          <w:szCs w:val="24"/>
          <w:lang w:val="en-US"/>
        </w:rPr>
        <w:t>24</w:t>
      </w:r>
      <w:r w:rsidRPr="000028B6">
        <w:rPr>
          <w:rFonts w:ascii="Times New Roman" w:hAnsi="Times New Roman" w:cs="Times New Roman"/>
          <w:noProof w:val="0"/>
          <w:sz w:val="24"/>
          <w:szCs w:val="24"/>
          <w:lang w:val="en-US"/>
        </w:rPr>
        <w:t xml:space="preserve">]. Atypical symptoms can precede the respiratory symptoms of COVID-19 in </w:t>
      </w:r>
      <w:r w:rsidR="003A27F9" w:rsidRPr="000028B6">
        <w:rPr>
          <w:rFonts w:ascii="Times New Roman" w:hAnsi="Times New Roman" w:cs="Times New Roman"/>
          <w:noProof w:val="0"/>
          <w:sz w:val="24"/>
          <w:szCs w:val="24"/>
          <w:lang w:val="en-US"/>
        </w:rPr>
        <w:t xml:space="preserve">elderly </w:t>
      </w:r>
      <w:r w:rsidRPr="000028B6">
        <w:rPr>
          <w:rFonts w:ascii="Times New Roman" w:hAnsi="Times New Roman" w:cs="Times New Roman"/>
          <w:noProof w:val="0"/>
          <w:sz w:val="24"/>
          <w:szCs w:val="24"/>
          <w:lang w:val="en-US"/>
        </w:rPr>
        <w:t>adults. Diarrhea with dehydration, fluctuating temperature with hypothermia, delirium and a fall are the most common. Since SARS-CoV-2 infection induces severe fatigue, falls can be common in older adults with little or no risk of fall</w:t>
      </w:r>
      <w:r w:rsidR="003A27F9" w:rsidRPr="000028B6">
        <w:rPr>
          <w:rFonts w:ascii="Times New Roman" w:hAnsi="Times New Roman" w:cs="Times New Roman"/>
          <w:noProof w:val="0"/>
          <w:sz w:val="24"/>
          <w:szCs w:val="24"/>
          <w:lang w:val="en-US"/>
        </w:rPr>
        <w:t>s</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25</w:t>
      </w:r>
      <w:r w:rsidRPr="000028B6">
        <w:rPr>
          <w:rFonts w:ascii="Times New Roman" w:hAnsi="Times New Roman" w:cs="Times New Roman"/>
          <w:noProof w:val="0"/>
          <w:sz w:val="24"/>
          <w:szCs w:val="24"/>
          <w:lang w:val="en-US"/>
        </w:rPr>
        <w:t>].</w:t>
      </w:r>
    </w:p>
    <w:p w14:paraId="01F46C47" w14:textId="1E4ABD04" w:rsidR="00F82472" w:rsidRPr="000028B6" w:rsidRDefault="00F82472" w:rsidP="000028B6">
      <w:pPr>
        <w:spacing w:line="480" w:lineRule="auto"/>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 xml:space="preserve">In stage 2 patients present clinical and radiological signs of mild </w:t>
      </w:r>
      <w:r w:rsidR="00CB7218" w:rsidRPr="000028B6">
        <w:rPr>
          <w:rFonts w:ascii="Times New Roman" w:hAnsi="Times New Roman" w:cs="Times New Roman"/>
          <w:noProof w:val="0"/>
          <w:color w:val="000000" w:themeColor="text1"/>
          <w:sz w:val="24"/>
          <w:szCs w:val="24"/>
          <w:lang w:val="en-US"/>
        </w:rPr>
        <w:t xml:space="preserve">to moderate </w:t>
      </w:r>
      <w:r w:rsidRPr="000028B6">
        <w:rPr>
          <w:rFonts w:ascii="Times New Roman" w:hAnsi="Times New Roman" w:cs="Times New Roman"/>
          <w:noProof w:val="0"/>
          <w:color w:val="000000" w:themeColor="text1"/>
          <w:sz w:val="24"/>
          <w:szCs w:val="24"/>
          <w:lang w:val="en-US"/>
        </w:rPr>
        <w:t>interstitial pneumonia with SpO</w:t>
      </w:r>
      <w:r w:rsidRPr="000028B6">
        <w:rPr>
          <w:rFonts w:ascii="Times New Roman" w:hAnsi="Times New Roman" w:cs="Times New Roman"/>
          <w:noProof w:val="0"/>
          <w:color w:val="000000" w:themeColor="text1"/>
          <w:sz w:val="24"/>
          <w:szCs w:val="24"/>
          <w:vertAlign w:val="subscript"/>
          <w:lang w:val="en-US"/>
        </w:rPr>
        <w:t>2</w:t>
      </w:r>
      <w:r w:rsidRPr="000028B6">
        <w:rPr>
          <w:rFonts w:ascii="Times New Roman" w:hAnsi="Times New Roman" w:cs="Times New Roman"/>
          <w:noProof w:val="0"/>
          <w:color w:val="000000" w:themeColor="text1"/>
          <w:sz w:val="24"/>
          <w:szCs w:val="24"/>
          <w:lang w:val="en-US"/>
        </w:rPr>
        <w:t>&lt;</w:t>
      </w:r>
      <w:r w:rsidR="001F692C" w:rsidRPr="000028B6">
        <w:rPr>
          <w:rFonts w:ascii="Times New Roman" w:hAnsi="Times New Roman" w:cs="Times New Roman"/>
          <w:noProof w:val="0"/>
          <w:color w:val="000000" w:themeColor="text1"/>
          <w:sz w:val="24"/>
          <w:szCs w:val="24"/>
          <w:lang w:val="en-US"/>
        </w:rPr>
        <w:t>94</w:t>
      </w:r>
      <w:r w:rsidRPr="000028B6">
        <w:rPr>
          <w:rFonts w:ascii="Times New Roman" w:hAnsi="Times New Roman" w:cs="Times New Roman"/>
          <w:noProof w:val="0"/>
          <w:color w:val="000000" w:themeColor="text1"/>
          <w:sz w:val="24"/>
          <w:szCs w:val="24"/>
          <w:lang w:val="en-US"/>
        </w:rPr>
        <w:t>% on room air. In some patients fever, dry cough, shortness of breath, fatigue and other extrapulmonary symptoms</w:t>
      </w:r>
      <w:r w:rsidR="00503CA7" w:rsidRPr="000028B6">
        <w:rPr>
          <w:rFonts w:ascii="Times New Roman" w:hAnsi="Times New Roman" w:cs="Times New Roman"/>
          <w:noProof w:val="0"/>
          <w:color w:val="000000" w:themeColor="text1"/>
          <w:sz w:val="24"/>
          <w:szCs w:val="24"/>
          <w:lang w:val="en-US"/>
        </w:rPr>
        <w:t xml:space="preserve"> are still present</w:t>
      </w:r>
      <w:r w:rsidRPr="000028B6">
        <w:rPr>
          <w:rFonts w:ascii="Times New Roman" w:hAnsi="Times New Roman" w:cs="Times New Roman"/>
          <w:noProof w:val="0"/>
          <w:color w:val="000000" w:themeColor="text1"/>
          <w:sz w:val="24"/>
          <w:szCs w:val="24"/>
          <w:lang w:val="en-US"/>
        </w:rPr>
        <w:t>.</w:t>
      </w:r>
    </w:p>
    <w:p w14:paraId="792C3ABB" w14:textId="714A22F7" w:rsidR="00F82472" w:rsidRPr="000028B6" w:rsidRDefault="00F82472" w:rsidP="000028B6">
      <w:pPr>
        <w:spacing w:line="480" w:lineRule="auto"/>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Stage 3 is a severe form of disease with respiratory failure (dyspnea, respiratory frequency over 30/min, SpO</w:t>
      </w:r>
      <w:r w:rsidRPr="000028B6">
        <w:rPr>
          <w:rFonts w:ascii="Times New Roman" w:hAnsi="Times New Roman" w:cs="Times New Roman"/>
          <w:noProof w:val="0"/>
          <w:color w:val="000000" w:themeColor="text1"/>
          <w:sz w:val="24"/>
          <w:szCs w:val="24"/>
          <w:vertAlign w:val="subscript"/>
          <w:lang w:val="en-US"/>
        </w:rPr>
        <w:t>2</w:t>
      </w:r>
      <w:r w:rsidRPr="000028B6">
        <w:rPr>
          <w:rFonts w:ascii="Times New Roman" w:hAnsi="Times New Roman" w:cs="Times New Roman"/>
          <w:noProof w:val="0"/>
          <w:color w:val="000000" w:themeColor="text1"/>
          <w:sz w:val="24"/>
          <w:szCs w:val="24"/>
          <w:lang w:val="en-US"/>
        </w:rPr>
        <w:t>&lt;90% on room air, and/or lung infiltrates more than 50% of the lung field within 24–48 hours) and cytokine storm syndrome</w:t>
      </w:r>
      <w:r w:rsidR="00CB0D42" w:rsidRPr="000028B6">
        <w:rPr>
          <w:rFonts w:ascii="Times New Roman" w:hAnsi="Times New Roman" w:cs="Times New Roman"/>
          <w:noProof w:val="0"/>
          <w:color w:val="000000" w:themeColor="text1"/>
          <w:sz w:val="24"/>
          <w:szCs w:val="24"/>
          <w:lang w:val="en-US"/>
        </w:rPr>
        <w:t xml:space="preserve"> [</w:t>
      </w:r>
      <w:r w:rsidR="0099388F" w:rsidRPr="000028B6">
        <w:rPr>
          <w:rFonts w:ascii="Times New Roman" w:hAnsi="Times New Roman" w:cs="Times New Roman"/>
          <w:bCs/>
          <w:noProof w:val="0"/>
          <w:color w:val="000000" w:themeColor="text1"/>
          <w:sz w:val="24"/>
          <w:szCs w:val="24"/>
          <w:lang w:val="en-US"/>
        </w:rPr>
        <w:t>26</w:t>
      </w:r>
      <w:r w:rsidR="00CB0D42" w:rsidRPr="000028B6">
        <w:rPr>
          <w:rFonts w:ascii="Times New Roman" w:hAnsi="Times New Roman" w:cs="Times New Roman"/>
          <w:bCs/>
          <w:noProof w:val="0"/>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 xml:space="preserve">. </w:t>
      </w:r>
      <w:r w:rsidR="002B60DF" w:rsidRPr="000028B6">
        <w:rPr>
          <w:rFonts w:ascii="Times New Roman" w:hAnsi="Times New Roman" w:cs="Times New Roman"/>
          <w:noProof w:val="0"/>
          <w:color w:val="000000" w:themeColor="text1"/>
          <w:sz w:val="24"/>
          <w:szCs w:val="24"/>
          <w:lang w:val="en-US"/>
        </w:rPr>
        <w:t xml:space="preserve">A </w:t>
      </w:r>
      <w:r w:rsidRPr="000028B6">
        <w:rPr>
          <w:rFonts w:ascii="Times New Roman" w:hAnsi="Times New Roman" w:cs="Times New Roman"/>
          <w:noProof w:val="0"/>
          <w:color w:val="000000" w:themeColor="text1"/>
          <w:sz w:val="24"/>
          <w:szCs w:val="24"/>
          <w:lang w:val="en-US"/>
        </w:rPr>
        <w:t>dangerous phenomenon is the development of respiratory failure without subjective perception of dyspnea (“silent hypoxemia”). In these cases, hypocapnia caused by compensatory hyperventilation is an accompanying finding</w:t>
      </w:r>
      <w:r w:rsidR="00D94FAE" w:rsidRPr="000028B6">
        <w:rPr>
          <w:rFonts w:ascii="Times New Roman" w:hAnsi="Times New Roman" w:cs="Times New Roman"/>
          <w:noProof w:val="0"/>
          <w:color w:val="000000" w:themeColor="text1"/>
          <w:sz w:val="24"/>
          <w:szCs w:val="24"/>
          <w:lang w:val="en-US"/>
        </w:rPr>
        <w:t xml:space="preserve"> </w:t>
      </w:r>
      <w:r w:rsidR="00D94FAE" w:rsidRPr="000028B6">
        <w:rPr>
          <w:rFonts w:ascii="Times New Roman" w:hAnsi="Times New Roman" w:cs="Times New Roman"/>
          <w:bCs/>
          <w:noProof w:val="0"/>
          <w:color w:val="000000" w:themeColor="text1"/>
          <w:sz w:val="24"/>
          <w:szCs w:val="24"/>
          <w:lang w:val="en-US"/>
        </w:rPr>
        <w:t>[</w:t>
      </w:r>
      <w:r w:rsidR="0099388F" w:rsidRPr="000028B6">
        <w:rPr>
          <w:rFonts w:ascii="Times New Roman" w:hAnsi="Times New Roman" w:cs="Times New Roman"/>
          <w:bCs/>
          <w:noProof w:val="0"/>
          <w:color w:val="000000" w:themeColor="text1"/>
          <w:sz w:val="24"/>
          <w:szCs w:val="24"/>
          <w:lang w:val="en-US"/>
        </w:rPr>
        <w:t>27</w:t>
      </w:r>
      <w:r w:rsidR="00D94FAE" w:rsidRPr="000028B6">
        <w:rPr>
          <w:rFonts w:ascii="Times New Roman" w:hAnsi="Times New Roman" w:cs="Times New Roman"/>
          <w:bCs/>
          <w:noProof w:val="0"/>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 xml:space="preserve">. Skeletal muscle damage associated with increased CK levels and neurological manifestations </w:t>
      </w:r>
      <w:r w:rsidR="002B60DF" w:rsidRPr="000028B6">
        <w:rPr>
          <w:rFonts w:ascii="Times New Roman" w:hAnsi="Times New Roman" w:cs="Times New Roman"/>
          <w:noProof w:val="0"/>
          <w:color w:val="000000" w:themeColor="text1"/>
          <w:sz w:val="24"/>
          <w:szCs w:val="24"/>
          <w:lang w:val="en-US"/>
        </w:rPr>
        <w:t xml:space="preserve">involving </w:t>
      </w:r>
      <w:r w:rsidRPr="000028B6">
        <w:rPr>
          <w:rFonts w:ascii="Times New Roman" w:hAnsi="Times New Roman" w:cs="Times New Roman"/>
          <w:noProof w:val="0"/>
          <w:color w:val="000000" w:themeColor="text1"/>
          <w:sz w:val="24"/>
          <w:szCs w:val="24"/>
          <w:lang w:val="en-US"/>
        </w:rPr>
        <w:t>both central and peripheral nervous system</w:t>
      </w:r>
      <w:r w:rsidR="002B60DF" w:rsidRPr="000028B6">
        <w:rPr>
          <w:rFonts w:ascii="Times New Roman" w:hAnsi="Times New Roman" w:cs="Times New Roman"/>
          <w:noProof w:val="0"/>
          <w:color w:val="000000" w:themeColor="text1"/>
          <w:sz w:val="24"/>
          <w:szCs w:val="24"/>
          <w:lang w:val="en-US"/>
        </w:rPr>
        <w:t>s</w:t>
      </w:r>
      <w:r w:rsidRPr="000028B6">
        <w:rPr>
          <w:rFonts w:ascii="Times New Roman" w:hAnsi="Times New Roman" w:cs="Times New Roman"/>
          <w:noProof w:val="0"/>
          <w:color w:val="000000" w:themeColor="text1"/>
          <w:sz w:val="24"/>
          <w:szCs w:val="24"/>
          <w:lang w:val="en-US"/>
        </w:rPr>
        <w:t xml:space="preserve"> are common among patients with severe infection</w:t>
      </w:r>
      <w:r w:rsidR="00D94FAE" w:rsidRPr="000028B6">
        <w:rPr>
          <w:rFonts w:ascii="Times New Roman" w:hAnsi="Times New Roman" w:cs="Times New Roman"/>
          <w:noProof w:val="0"/>
          <w:color w:val="000000" w:themeColor="text1"/>
          <w:sz w:val="24"/>
          <w:szCs w:val="24"/>
          <w:lang w:val="en-US"/>
        </w:rPr>
        <w:t xml:space="preserve"> [</w:t>
      </w:r>
      <w:r w:rsidR="0099388F" w:rsidRPr="000028B6">
        <w:rPr>
          <w:rFonts w:ascii="Times New Roman" w:hAnsi="Times New Roman" w:cs="Times New Roman"/>
          <w:bCs/>
          <w:noProof w:val="0"/>
          <w:color w:val="000000" w:themeColor="text1"/>
          <w:sz w:val="24"/>
          <w:szCs w:val="24"/>
          <w:lang w:val="en-US"/>
        </w:rPr>
        <w:t>28</w:t>
      </w:r>
      <w:r w:rsidR="00D94FAE" w:rsidRPr="000028B6">
        <w:rPr>
          <w:rFonts w:ascii="Times New Roman" w:hAnsi="Times New Roman" w:cs="Times New Roman"/>
          <w:noProof w:val="0"/>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 xml:space="preserve"> Acute cerebrovascular disease (ischemic stroke, intracerebral hemorrhage, deep cerebral venous thrombosis), encephalitis, Guillain-Barre syndrome, vision impairment, dizziness, impaired consciousness, ataxia, and seizure are reported [</w:t>
      </w:r>
      <w:r w:rsidR="00E848D4" w:rsidRPr="000028B6">
        <w:rPr>
          <w:rFonts w:ascii="Times New Roman" w:hAnsi="Times New Roman" w:cs="Times New Roman"/>
          <w:noProof w:val="0"/>
          <w:color w:val="000000" w:themeColor="text1"/>
          <w:sz w:val="24"/>
          <w:szCs w:val="24"/>
          <w:lang w:val="en-US"/>
        </w:rPr>
        <w:t>2</w:t>
      </w:r>
      <w:r w:rsidR="0099388F" w:rsidRPr="000028B6">
        <w:rPr>
          <w:rFonts w:ascii="Times New Roman" w:hAnsi="Times New Roman" w:cs="Times New Roman"/>
          <w:noProof w:val="0"/>
          <w:color w:val="000000" w:themeColor="text1"/>
          <w:sz w:val="24"/>
          <w:szCs w:val="24"/>
          <w:lang w:val="en-US"/>
        </w:rPr>
        <w:t>9</w:t>
      </w:r>
      <w:r w:rsidRPr="000028B6">
        <w:rPr>
          <w:rFonts w:ascii="Times New Roman" w:hAnsi="Times New Roman" w:cs="Times New Roman"/>
          <w:noProof w:val="0"/>
          <w:color w:val="000000" w:themeColor="text1"/>
          <w:sz w:val="24"/>
          <w:szCs w:val="24"/>
          <w:lang w:val="en-US"/>
        </w:rPr>
        <w:t xml:space="preserve">]. Cardiovascular manifestations of COVID-19 (myocardial ischemia, myocarditis, cardiomyopathy, ventricular arrhythmias, and hemodynamic instability) are observed but </w:t>
      </w:r>
      <w:r w:rsidR="002B60DF" w:rsidRPr="000028B6">
        <w:rPr>
          <w:rFonts w:ascii="Times New Roman" w:hAnsi="Times New Roman" w:cs="Times New Roman"/>
          <w:noProof w:val="0"/>
          <w:color w:val="000000" w:themeColor="text1"/>
          <w:sz w:val="24"/>
          <w:szCs w:val="24"/>
          <w:lang w:val="en-US"/>
        </w:rPr>
        <w:t xml:space="preserve">at lower </w:t>
      </w:r>
      <w:r w:rsidRPr="000028B6">
        <w:rPr>
          <w:rFonts w:ascii="Times New Roman" w:hAnsi="Times New Roman" w:cs="Times New Roman"/>
          <w:noProof w:val="0"/>
          <w:color w:val="000000" w:themeColor="text1"/>
          <w:sz w:val="24"/>
          <w:szCs w:val="24"/>
          <w:lang w:val="en-US"/>
        </w:rPr>
        <w:t>frequency than in critical</w:t>
      </w:r>
      <w:r w:rsidR="0032477E" w:rsidRPr="000028B6">
        <w:rPr>
          <w:rFonts w:ascii="Times New Roman" w:hAnsi="Times New Roman" w:cs="Times New Roman"/>
          <w:noProof w:val="0"/>
          <w:color w:val="000000" w:themeColor="text1"/>
          <w:sz w:val="24"/>
          <w:szCs w:val="24"/>
          <w:lang w:val="en-US"/>
        </w:rPr>
        <w:t>ly</w:t>
      </w:r>
      <w:r w:rsidRPr="000028B6">
        <w:rPr>
          <w:rFonts w:ascii="Times New Roman" w:hAnsi="Times New Roman" w:cs="Times New Roman"/>
          <w:noProof w:val="0"/>
          <w:color w:val="000000" w:themeColor="text1"/>
          <w:sz w:val="24"/>
          <w:szCs w:val="24"/>
          <w:lang w:val="en-US"/>
        </w:rPr>
        <w:t xml:space="preserve"> ill patients [</w:t>
      </w:r>
      <w:r w:rsidR="0099388F" w:rsidRPr="000028B6">
        <w:rPr>
          <w:rFonts w:ascii="Times New Roman" w:hAnsi="Times New Roman" w:cs="Times New Roman"/>
          <w:noProof w:val="0"/>
          <w:color w:val="000000" w:themeColor="text1"/>
          <w:sz w:val="24"/>
          <w:szCs w:val="24"/>
          <w:lang w:val="en-US"/>
        </w:rPr>
        <w:t>30</w:t>
      </w:r>
      <w:r w:rsidRPr="000028B6">
        <w:rPr>
          <w:rFonts w:ascii="Times New Roman" w:hAnsi="Times New Roman" w:cs="Times New Roman"/>
          <w:noProof w:val="0"/>
          <w:color w:val="000000" w:themeColor="text1"/>
          <w:sz w:val="24"/>
          <w:szCs w:val="24"/>
          <w:lang w:val="en-US"/>
        </w:rPr>
        <w:t>].</w:t>
      </w:r>
      <w:r w:rsidR="00792B35" w:rsidRPr="000028B6">
        <w:rPr>
          <w:rFonts w:ascii="Times New Roman" w:hAnsi="Times New Roman" w:cs="Times New Roman"/>
          <w:noProof w:val="0"/>
          <w:color w:val="000000" w:themeColor="text1"/>
          <w:sz w:val="24"/>
          <w:szCs w:val="24"/>
          <w:lang w:val="en-US"/>
        </w:rPr>
        <w:t xml:space="preserve"> </w:t>
      </w:r>
      <w:r w:rsidRPr="000028B6">
        <w:rPr>
          <w:rFonts w:ascii="Times New Roman" w:hAnsi="Times New Roman" w:cs="Times New Roman"/>
          <w:noProof w:val="0"/>
          <w:color w:val="000000" w:themeColor="text1"/>
          <w:sz w:val="24"/>
          <w:szCs w:val="24"/>
          <w:lang w:val="en-US"/>
        </w:rPr>
        <w:t xml:space="preserve">The typical course of </w:t>
      </w:r>
      <w:r w:rsidRPr="000028B6">
        <w:rPr>
          <w:rFonts w:ascii="Times New Roman" w:hAnsi="Times New Roman" w:cs="Times New Roman"/>
          <w:noProof w:val="0"/>
          <w:color w:val="000000" w:themeColor="text1"/>
          <w:sz w:val="24"/>
          <w:szCs w:val="24"/>
          <w:lang w:val="en-US"/>
        </w:rPr>
        <w:lastRenderedPageBreak/>
        <w:t>severe disease includes the appearance of overt dyspnea 6 days after the onset of first symptoms, hospitalization after a further 8 days and the need for tracheal intubation 10 days after hospitalization</w:t>
      </w:r>
      <w:r w:rsidR="00AD4115" w:rsidRPr="000028B6">
        <w:rPr>
          <w:rFonts w:ascii="Times New Roman" w:hAnsi="Times New Roman" w:cs="Times New Roman"/>
          <w:noProof w:val="0"/>
          <w:color w:val="000000" w:themeColor="text1"/>
          <w:sz w:val="24"/>
          <w:szCs w:val="24"/>
          <w:lang w:val="en-US"/>
        </w:rPr>
        <w:t xml:space="preserve"> </w:t>
      </w:r>
      <w:r w:rsidR="00D94FAE" w:rsidRPr="000028B6">
        <w:rPr>
          <w:rFonts w:ascii="Times New Roman" w:hAnsi="Times New Roman" w:cs="Times New Roman"/>
          <w:noProof w:val="0"/>
          <w:color w:val="000000" w:themeColor="text1"/>
          <w:sz w:val="24"/>
          <w:szCs w:val="24"/>
          <w:lang w:val="en-US"/>
        </w:rPr>
        <w:t>[</w:t>
      </w:r>
      <w:r w:rsidR="0099388F" w:rsidRPr="000028B6">
        <w:rPr>
          <w:rFonts w:ascii="Times New Roman" w:hAnsi="Times New Roman" w:cs="Times New Roman"/>
          <w:bCs/>
          <w:color w:val="000000" w:themeColor="text1"/>
          <w:sz w:val="24"/>
          <w:szCs w:val="24"/>
          <w:lang w:val="en-US"/>
        </w:rPr>
        <w:t>31</w:t>
      </w:r>
      <w:r w:rsidR="00D94FAE" w:rsidRPr="000028B6">
        <w:rPr>
          <w:rFonts w:ascii="Times New Roman" w:hAnsi="Times New Roman" w:cs="Times New Roman"/>
          <w:bCs/>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w:t>
      </w:r>
    </w:p>
    <w:p w14:paraId="1F73B6AD" w14:textId="2F033B92" w:rsidR="00F65F6F" w:rsidRPr="000028B6" w:rsidRDefault="00F82472"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color w:val="000000" w:themeColor="text1"/>
          <w:sz w:val="24"/>
          <w:szCs w:val="24"/>
          <w:lang w:val="en-US"/>
        </w:rPr>
        <w:t>Stage 4</w:t>
      </w:r>
      <w:r w:rsidR="00792B35" w:rsidRPr="000028B6">
        <w:rPr>
          <w:rFonts w:ascii="Times New Roman" w:hAnsi="Times New Roman" w:cs="Times New Roman"/>
          <w:noProof w:val="0"/>
          <w:color w:val="000000" w:themeColor="text1"/>
          <w:sz w:val="24"/>
          <w:szCs w:val="24"/>
          <w:lang w:val="en-US"/>
        </w:rPr>
        <w:t xml:space="preserve"> is a </w:t>
      </w:r>
      <w:r w:rsidRPr="000028B6">
        <w:rPr>
          <w:rFonts w:ascii="Times New Roman" w:hAnsi="Times New Roman" w:cs="Times New Roman"/>
          <w:noProof w:val="0"/>
          <w:color w:val="000000" w:themeColor="text1"/>
          <w:sz w:val="24"/>
          <w:szCs w:val="24"/>
          <w:lang w:val="en-US"/>
        </w:rPr>
        <w:t>critical condition</w:t>
      </w:r>
      <w:r w:rsidR="00792B35" w:rsidRPr="000028B6">
        <w:rPr>
          <w:rFonts w:ascii="Times New Roman" w:hAnsi="Times New Roman" w:cs="Times New Roman"/>
          <w:noProof w:val="0"/>
          <w:color w:val="000000" w:themeColor="text1"/>
          <w:sz w:val="24"/>
          <w:szCs w:val="24"/>
          <w:lang w:val="en-US"/>
        </w:rPr>
        <w:t>, which</w:t>
      </w:r>
      <w:r w:rsidRPr="000028B6">
        <w:rPr>
          <w:rFonts w:ascii="Times New Roman" w:hAnsi="Times New Roman" w:cs="Times New Roman"/>
          <w:noProof w:val="0"/>
          <w:color w:val="000000" w:themeColor="text1"/>
          <w:sz w:val="24"/>
          <w:szCs w:val="24"/>
          <w:lang w:val="en-US"/>
        </w:rPr>
        <w:t xml:space="preserve"> deve</w:t>
      </w:r>
      <w:r w:rsidRPr="000028B6">
        <w:rPr>
          <w:rFonts w:ascii="Times New Roman" w:hAnsi="Times New Roman" w:cs="Times New Roman"/>
          <w:noProof w:val="0"/>
          <w:sz w:val="24"/>
          <w:szCs w:val="24"/>
          <w:lang w:val="en-US"/>
        </w:rPr>
        <w:t>lops in around 5% of patients, with hypoxemic respiratory failure, septic shock, and/or multiple organ dysfunction (i</w:t>
      </w:r>
      <w:r w:rsidR="00893151" w:rsidRPr="000028B6">
        <w:rPr>
          <w:rFonts w:ascii="Times New Roman" w:hAnsi="Times New Roman" w:cs="Times New Roman"/>
          <w:noProof w:val="0"/>
          <w:sz w:val="24"/>
          <w:szCs w:val="24"/>
          <w:lang w:val="en-US"/>
        </w:rPr>
        <w:t>nter alia</w:t>
      </w:r>
      <w:r w:rsidRPr="000028B6">
        <w:rPr>
          <w:rFonts w:ascii="Times New Roman" w:hAnsi="Times New Roman" w:cs="Times New Roman"/>
          <w:noProof w:val="0"/>
          <w:sz w:val="24"/>
          <w:szCs w:val="24"/>
          <w:lang w:val="en-US"/>
        </w:rPr>
        <w:t xml:space="preserve"> acute kidney injury, liver dysfunction, bleeding and coagulation dysfunction). In the ICU, venous and arterial thromboembolic events occur in 31% to 59% of patients [</w:t>
      </w:r>
      <w:r w:rsidR="00E848D4" w:rsidRPr="000028B6">
        <w:rPr>
          <w:rFonts w:ascii="Times New Roman" w:hAnsi="Times New Roman" w:cs="Times New Roman"/>
          <w:noProof w:val="0"/>
          <w:sz w:val="24"/>
          <w:szCs w:val="24"/>
          <w:lang w:val="en-US"/>
        </w:rPr>
        <w:t>25</w:t>
      </w:r>
      <w:r w:rsidRPr="000028B6">
        <w:rPr>
          <w:rFonts w:ascii="Times New Roman" w:hAnsi="Times New Roman" w:cs="Times New Roman"/>
          <w:noProof w:val="0"/>
          <w:sz w:val="24"/>
          <w:szCs w:val="24"/>
          <w:lang w:val="en-US"/>
        </w:rPr>
        <w:t>]. Death is caused by progression to acute respiratory distress syndrome (ARDS) and multiorgan failure.</w:t>
      </w:r>
    </w:p>
    <w:p w14:paraId="2146540E" w14:textId="7BF0CA8A" w:rsidR="00DC215A" w:rsidRPr="000028B6" w:rsidRDefault="00143429"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Laboratory diagnostics</w:t>
      </w:r>
    </w:p>
    <w:p w14:paraId="65D4A554" w14:textId="60A5B69A" w:rsidR="00673EA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u w:val="single"/>
          <w:lang w:val="en-US"/>
        </w:rPr>
        <w:t>Principles of molecular diagnostics</w:t>
      </w:r>
    </w:p>
    <w:p w14:paraId="29D762B4" w14:textId="7C472FC2" w:rsidR="00673EA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Currently, laboratory confirmation of SARS CoV-2 infection is based on molecular diagnostics: either detection of the viral nucleic acid or antigens from clinical samples. Typically, the highest sensitivity of molecular assays is observed with the initial symptoms of the disease, with genetic material often also detectable at the end of the pre-symptomatic phase of the infection [</w:t>
      </w:r>
      <w:r w:rsidR="0099388F" w:rsidRPr="000028B6">
        <w:rPr>
          <w:rFonts w:ascii="Times New Roman" w:hAnsi="Times New Roman" w:cs="Times New Roman"/>
          <w:noProof w:val="0"/>
          <w:sz w:val="24"/>
          <w:szCs w:val="24"/>
          <w:lang w:val="en-US"/>
        </w:rPr>
        <w:t>32</w:t>
      </w:r>
      <w:r w:rsidRPr="000028B6">
        <w:rPr>
          <w:rFonts w:ascii="Times New Roman" w:hAnsi="Times New Roman" w:cs="Times New Roman"/>
          <w:noProof w:val="0"/>
          <w:sz w:val="24"/>
          <w:szCs w:val="24"/>
          <w:lang w:val="en-US"/>
        </w:rPr>
        <w:t>].</w:t>
      </w:r>
    </w:p>
    <w:p w14:paraId="46F26F67" w14:textId="77777777" w:rsidR="00673EAD" w:rsidRPr="000028B6" w:rsidRDefault="00673EAD" w:rsidP="000028B6">
      <w:pPr>
        <w:spacing w:line="480" w:lineRule="auto"/>
        <w:rPr>
          <w:rFonts w:ascii="Times New Roman" w:hAnsi="Times New Roman" w:cs="Times New Roman"/>
          <w:noProof w:val="0"/>
          <w:sz w:val="24"/>
          <w:szCs w:val="24"/>
          <w:u w:val="single"/>
          <w:lang w:val="en-US"/>
        </w:rPr>
      </w:pPr>
      <w:r w:rsidRPr="000028B6">
        <w:rPr>
          <w:rFonts w:ascii="Times New Roman" w:hAnsi="Times New Roman" w:cs="Times New Roman"/>
          <w:noProof w:val="0"/>
          <w:sz w:val="24"/>
          <w:szCs w:val="24"/>
          <w:u w:val="single"/>
          <w:lang w:val="en-US"/>
        </w:rPr>
        <w:t>Nucleic acid amplification testing (NAAT)</w:t>
      </w:r>
    </w:p>
    <w:p w14:paraId="5DA89E5A" w14:textId="7253D716" w:rsidR="00673EA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Since the beginning of the SARS CoV-2 epidemics nucleic acid amplification techniques allowing for the detection of genetic material of this virus have been rapidly introduced [</w:t>
      </w:r>
      <w:r w:rsidR="0099388F" w:rsidRPr="000028B6">
        <w:rPr>
          <w:rFonts w:ascii="Times New Roman" w:hAnsi="Times New Roman" w:cs="Times New Roman"/>
          <w:noProof w:val="0"/>
          <w:sz w:val="24"/>
          <w:szCs w:val="24"/>
          <w:lang w:val="en-US"/>
        </w:rPr>
        <w:t>33</w:t>
      </w:r>
      <w:r w:rsidRPr="000028B6">
        <w:rPr>
          <w:rFonts w:ascii="Times New Roman" w:hAnsi="Times New Roman" w:cs="Times New Roman"/>
          <w:noProof w:val="0"/>
          <w:sz w:val="24"/>
          <w:szCs w:val="24"/>
          <w:lang w:val="en-US"/>
        </w:rPr>
        <w:t>]. Polymerase chain amplification based techniques have been supplemented with loop mediated isothermal amplification (L</w:t>
      </w:r>
      <w:r w:rsidR="001F692C" w:rsidRPr="000028B6">
        <w:rPr>
          <w:rFonts w:ascii="Times New Roman" w:hAnsi="Times New Roman" w:cs="Times New Roman"/>
          <w:noProof w:val="0"/>
          <w:sz w:val="24"/>
          <w:szCs w:val="24"/>
          <w:lang w:val="en-US"/>
        </w:rPr>
        <w:t>A</w:t>
      </w:r>
      <w:r w:rsidRPr="000028B6">
        <w:rPr>
          <w:rFonts w:ascii="Times New Roman" w:hAnsi="Times New Roman" w:cs="Times New Roman"/>
          <w:noProof w:val="0"/>
          <w:sz w:val="24"/>
          <w:szCs w:val="24"/>
          <w:lang w:val="en-US"/>
        </w:rPr>
        <w:t>MA) and transcription mediated amplification (TMA) assays. NAAT tests</w:t>
      </w:r>
      <w:r w:rsidR="00C239F8" w:rsidRPr="000028B6">
        <w:rPr>
          <w:rFonts w:ascii="Times New Roman" w:hAnsi="Times New Roman" w:cs="Times New Roman"/>
          <w:noProof w:val="0"/>
          <w:sz w:val="24"/>
          <w:szCs w:val="24"/>
          <w:lang w:val="en-US"/>
        </w:rPr>
        <w:t>, currently a gold standard of diagnostics,</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are designed to detect different genes of SARS CoV-2 including ORF, E, N, S RdRp and other regions. Molecular testing should be performed by </w:t>
      </w:r>
      <w:r w:rsidR="00210E01" w:rsidRPr="000028B6">
        <w:rPr>
          <w:rFonts w:ascii="Times New Roman" w:hAnsi="Times New Roman" w:cs="Times New Roman"/>
          <w:noProof w:val="0"/>
          <w:sz w:val="24"/>
          <w:szCs w:val="24"/>
          <w:lang w:val="en-US"/>
        </w:rPr>
        <w:t xml:space="preserve">a </w:t>
      </w:r>
      <w:r w:rsidRPr="000028B6">
        <w:rPr>
          <w:rFonts w:ascii="Times New Roman" w:hAnsi="Times New Roman" w:cs="Times New Roman"/>
          <w:noProof w:val="0"/>
          <w:sz w:val="24"/>
          <w:szCs w:val="24"/>
          <w:lang w:val="en-US"/>
        </w:rPr>
        <w:t xml:space="preserve">quality-controlled laboratory provider with the test targeting at least two (preferably three) regions of the viral genome. Detected genetic material is not a proof of </w:t>
      </w:r>
      <w:r w:rsidRPr="000028B6">
        <w:rPr>
          <w:rFonts w:ascii="Times New Roman" w:hAnsi="Times New Roman" w:cs="Times New Roman"/>
          <w:noProof w:val="0"/>
          <w:sz w:val="24"/>
          <w:szCs w:val="24"/>
          <w:lang w:val="en-US"/>
        </w:rPr>
        <w:lastRenderedPageBreak/>
        <w:t>infectivity, as it may be detectable after several weeks from onset of infection.</w:t>
      </w:r>
      <w:r w:rsidR="0089315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Pooling of specimens may be useful for population diagnostics but should not be performed in the hospital setting for clinical purposes. </w:t>
      </w:r>
    </w:p>
    <w:p w14:paraId="28CFDE07" w14:textId="77777777" w:rsidR="00673EAD" w:rsidRPr="000028B6" w:rsidRDefault="00673EAD" w:rsidP="000028B6">
      <w:pPr>
        <w:spacing w:line="480" w:lineRule="auto"/>
        <w:rPr>
          <w:rFonts w:ascii="Times New Roman" w:hAnsi="Times New Roman" w:cs="Times New Roman"/>
          <w:noProof w:val="0"/>
          <w:sz w:val="24"/>
          <w:szCs w:val="24"/>
          <w:u w:val="single"/>
          <w:lang w:val="en-US"/>
        </w:rPr>
      </w:pPr>
      <w:r w:rsidRPr="000028B6">
        <w:rPr>
          <w:rFonts w:ascii="Times New Roman" w:hAnsi="Times New Roman" w:cs="Times New Roman"/>
          <w:noProof w:val="0"/>
          <w:sz w:val="24"/>
          <w:szCs w:val="24"/>
          <w:u w:val="single"/>
          <w:lang w:val="en-US"/>
        </w:rPr>
        <w:t>Sequencing of the SARS CoV-2 genome</w:t>
      </w:r>
    </w:p>
    <w:p w14:paraId="49858BA2" w14:textId="1928B115" w:rsidR="00673EA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To investigate molecular evolution of the virus genomic sequencing techniques may be implemented. This allows for the molecular surveillance of the emergence of mutations affecting transmissibility and pathogenicity of the virus, principally within the </w:t>
      </w:r>
      <w:r w:rsidR="00DE1533" w:rsidRPr="000028B6">
        <w:rPr>
          <w:rFonts w:ascii="Times New Roman" w:hAnsi="Times New Roman" w:cs="Times New Roman"/>
          <w:noProof w:val="0"/>
          <w:sz w:val="24"/>
          <w:szCs w:val="24"/>
          <w:lang w:val="en-US"/>
        </w:rPr>
        <w:t xml:space="preserve">spike </w:t>
      </w:r>
      <w:r w:rsidRPr="000028B6">
        <w:rPr>
          <w:rFonts w:ascii="Times New Roman" w:hAnsi="Times New Roman" w:cs="Times New Roman"/>
          <w:noProof w:val="0"/>
          <w:sz w:val="24"/>
          <w:szCs w:val="24"/>
          <w:lang w:val="en-US"/>
        </w:rPr>
        <w:t>gene coding region and identification of newly emerging variants with pandemic potential.</w:t>
      </w:r>
      <w:r w:rsidR="00893151" w:rsidRPr="000028B6">
        <w:rPr>
          <w:rFonts w:ascii="Times New Roman" w:hAnsi="Times New Roman" w:cs="Times New Roman"/>
          <w:noProof w:val="0"/>
          <w:sz w:val="24"/>
          <w:szCs w:val="24"/>
          <w:lang w:val="en-US"/>
        </w:rPr>
        <w:t xml:space="preserve"> </w:t>
      </w:r>
    </w:p>
    <w:p w14:paraId="234A9E92" w14:textId="77777777" w:rsidR="00673EAD" w:rsidRPr="000028B6" w:rsidRDefault="00673EAD" w:rsidP="000028B6">
      <w:pPr>
        <w:spacing w:line="480" w:lineRule="auto"/>
        <w:rPr>
          <w:rFonts w:ascii="Times New Roman" w:hAnsi="Times New Roman" w:cs="Times New Roman"/>
          <w:noProof w:val="0"/>
          <w:sz w:val="24"/>
          <w:szCs w:val="24"/>
          <w:u w:val="single"/>
          <w:lang w:val="en-US"/>
        </w:rPr>
      </w:pPr>
      <w:r w:rsidRPr="000028B6">
        <w:rPr>
          <w:rFonts w:ascii="Times New Roman" w:hAnsi="Times New Roman" w:cs="Times New Roman"/>
          <w:noProof w:val="0"/>
          <w:sz w:val="24"/>
          <w:szCs w:val="24"/>
          <w:u w:val="single"/>
          <w:lang w:val="en-US"/>
        </w:rPr>
        <w:t xml:space="preserve">Antigen tests </w:t>
      </w:r>
    </w:p>
    <w:p w14:paraId="00B1FCEB" w14:textId="155C396F" w:rsidR="00673EA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Detection of viral antigens allows for rapid (15-30 minutes) SARS CoV-2 diagnosis</w:t>
      </w:r>
      <w:r w:rsidR="00A3603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improving efficacy of testing and detection of infectious cases and </w:t>
      </w:r>
      <w:r w:rsidR="00A3603C" w:rsidRPr="000028B6">
        <w:rPr>
          <w:rFonts w:ascii="Times New Roman" w:hAnsi="Times New Roman" w:cs="Times New Roman"/>
          <w:noProof w:val="0"/>
          <w:sz w:val="24"/>
          <w:szCs w:val="24"/>
          <w:lang w:val="en-US"/>
        </w:rPr>
        <w:t xml:space="preserve">reducing </w:t>
      </w:r>
      <w:r w:rsidRPr="000028B6">
        <w:rPr>
          <w:rFonts w:ascii="Times New Roman" w:hAnsi="Times New Roman" w:cs="Times New Roman"/>
          <w:noProof w:val="0"/>
          <w:sz w:val="24"/>
          <w:szCs w:val="24"/>
          <w:lang w:val="en-US"/>
        </w:rPr>
        <w:t>the cost of molecular diagnostics. Sensitivity of the antigenic tests is lower comparted to the NAAT</w:t>
      </w:r>
      <w:r w:rsidR="00A3603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and antigen based testing remains limited to the initial period of infection. Recommended (ECDC) diagnostic sensitivity of the antigen assays is ≥90% with specificity of ≥97% [</w:t>
      </w:r>
      <w:r w:rsidR="00E848D4" w:rsidRPr="000028B6">
        <w:rPr>
          <w:rFonts w:ascii="Times New Roman" w:hAnsi="Times New Roman" w:cs="Times New Roman"/>
          <w:noProof w:val="0"/>
          <w:sz w:val="24"/>
          <w:szCs w:val="24"/>
          <w:lang w:val="en-US"/>
        </w:rPr>
        <w:t>3</w:t>
      </w:r>
      <w:r w:rsidR="0099388F" w:rsidRPr="000028B6">
        <w:rPr>
          <w:rFonts w:ascii="Times New Roman" w:hAnsi="Times New Roman" w:cs="Times New Roman"/>
          <w:noProof w:val="0"/>
          <w:sz w:val="24"/>
          <w:szCs w:val="24"/>
          <w:lang w:val="en-US"/>
        </w:rPr>
        <w:t>4</w:t>
      </w:r>
      <w:r w:rsidRPr="000028B6">
        <w:rPr>
          <w:rFonts w:ascii="Times New Roman" w:hAnsi="Times New Roman" w:cs="Times New Roman"/>
          <w:noProof w:val="0"/>
          <w:sz w:val="24"/>
          <w:szCs w:val="24"/>
          <w:lang w:val="en-US"/>
        </w:rPr>
        <w:t>]</w:t>
      </w:r>
      <w:r w:rsidR="00A3603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t>
      </w:r>
      <w:r w:rsidR="00A3603C" w:rsidRPr="000028B6">
        <w:rPr>
          <w:rFonts w:ascii="Times New Roman" w:hAnsi="Times New Roman" w:cs="Times New Roman"/>
          <w:noProof w:val="0"/>
          <w:sz w:val="24"/>
          <w:szCs w:val="24"/>
          <w:lang w:val="en-US"/>
        </w:rPr>
        <w:t>T</w:t>
      </w:r>
      <w:r w:rsidRPr="000028B6">
        <w:rPr>
          <w:rFonts w:ascii="Times New Roman" w:hAnsi="Times New Roman" w:cs="Times New Roman"/>
          <w:noProof w:val="0"/>
          <w:sz w:val="24"/>
          <w:szCs w:val="24"/>
          <w:lang w:val="en-US"/>
        </w:rPr>
        <w:t xml:space="preserve">his testing is </w:t>
      </w:r>
      <w:r w:rsidR="00A3603C" w:rsidRPr="000028B6">
        <w:rPr>
          <w:rFonts w:ascii="Times New Roman" w:hAnsi="Times New Roman" w:cs="Times New Roman"/>
          <w:noProof w:val="0"/>
          <w:sz w:val="24"/>
          <w:szCs w:val="24"/>
          <w:lang w:val="en-US"/>
        </w:rPr>
        <w:t>intended for</w:t>
      </w:r>
      <w:r w:rsidRPr="000028B6">
        <w:rPr>
          <w:rFonts w:ascii="Times New Roman" w:hAnsi="Times New Roman" w:cs="Times New Roman"/>
          <w:noProof w:val="0"/>
          <w:sz w:val="24"/>
          <w:szCs w:val="24"/>
          <w:lang w:val="en-US"/>
        </w:rPr>
        <w:t xml:space="preserve"> symptomatic cases within the first 5 to 7 days after the onset of the disease. In </w:t>
      </w:r>
      <w:r w:rsidR="00893151" w:rsidRPr="000028B6">
        <w:rPr>
          <w:rFonts w:ascii="Times New Roman" w:hAnsi="Times New Roman" w:cs="Times New Roman"/>
          <w:noProof w:val="0"/>
          <w:sz w:val="24"/>
          <w:szCs w:val="24"/>
          <w:lang w:val="en-US"/>
        </w:rPr>
        <w:t>asymptomatic</w:t>
      </w:r>
      <w:r w:rsidRPr="000028B6">
        <w:rPr>
          <w:rFonts w:ascii="Times New Roman" w:hAnsi="Times New Roman" w:cs="Times New Roman"/>
          <w:noProof w:val="0"/>
          <w:sz w:val="24"/>
          <w:szCs w:val="24"/>
          <w:lang w:val="en-US"/>
        </w:rPr>
        <w:t xml:space="preserve"> cases </w:t>
      </w:r>
      <w:r w:rsidR="00A3603C" w:rsidRPr="000028B6">
        <w:rPr>
          <w:rFonts w:ascii="Times New Roman" w:hAnsi="Times New Roman" w:cs="Times New Roman"/>
          <w:noProof w:val="0"/>
          <w:sz w:val="24"/>
          <w:szCs w:val="24"/>
          <w:lang w:val="en-US"/>
        </w:rPr>
        <w:t xml:space="preserve">a </w:t>
      </w:r>
      <w:r w:rsidRPr="000028B6">
        <w:rPr>
          <w:rFonts w:ascii="Times New Roman" w:hAnsi="Times New Roman" w:cs="Times New Roman"/>
          <w:noProof w:val="0"/>
          <w:sz w:val="24"/>
          <w:szCs w:val="24"/>
          <w:lang w:val="en-US"/>
        </w:rPr>
        <w:t xml:space="preserve">negative result of </w:t>
      </w:r>
      <w:r w:rsidR="00A3603C"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antigen test following the exposure does not rule out </w:t>
      </w:r>
      <w:r w:rsidR="00A3603C"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 xml:space="preserve">possibility of infection, </w:t>
      </w:r>
      <w:r w:rsidR="00A3603C" w:rsidRPr="000028B6">
        <w:rPr>
          <w:rFonts w:ascii="Times New Roman" w:hAnsi="Times New Roman" w:cs="Times New Roman"/>
          <w:noProof w:val="0"/>
          <w:sz w:val="24"/>
          <w:szCs w:val="24"/>
          <w:lang w:val="en-US"/>
        </w:rPr>
        <w:t xml:space="preserve">but a </w:t>
      </w:r>
      <w:r w:rsidRPr="000028B6">
        <w:rPr>
          <w:rFonts w:ascii="Times New Roman" w:hAnsi="Times New Roman" w:cs="Times New Roman"/>
          <w:noProof w:val="0"/>
          <w:sz w:val="24"/>
          <w:szCs w:val="24"/>
          <w:lang w:val="en-US"/>
        </w:rPr>
        <w:t>positive antigen test should be regarded as confirmation of active infection.</w:t>
      </w:r>
      <w:r w:rsidR="00893151" w:rsidRPr="000028B6">
        <w:rPr>
          <w:rFonts w:ascii="Times New Roman" w:hAnsi="Times New Roman" w:cs="Times New Roman"/>
          <w:noProof w:val="0"/>
          <w:sz w:val="24"/>
          <w:szCs w:val="24"/>
          <w:lang w:val="en-US"/>
        </w:rPr>
        <w:t xml:space="preserve"> </w:t>
      </w:r>
      <w:r w:rsidR="00A3603C" w:rsidRPr="000028B6">
        <w:rPr>
          <w:rFonts w:ascii="Times New Roman" w:hAnsi="Times New Roman" w:cs="Times New Roman"/>
          <w:noProof w:val="0"/>
          <w:sz w:val="24"/>
          <w:szCs w:val="24"/>
          <w:lang w:val="en-US"/>
        </w:rPr>
        <w:t xml:space="preserve">A positive </w:t>
      </w:r>
      <w:r w:rsidRPr="000028B6">
        <w:rPr>
          <w:rFonts w:ascii="Times New Roman" w:hAnsi="Times New Roman" w:cs="Times New Roman"/>
          <w:noProof w:val="0"/>
          <w:sz w:val="24"/>
          <w:szCs w:val="24"/>
          <w:lang w:val="en-US"/>
        </w:rPr>
        <w:t>antigenic test in immunocompromised individuals may be indicative of prolonged viral shedding and infectivity [</w:t>
      </w:r>
      <w:r w:rsidR="00E848D4" w:rsidRPr="000028B6">
        <w:rPr>
          <w:rFonts w:ascii="Times New Roman" w:hAnsi="Times New Roman" w:cs="Times New Roman"/>
          <w:noProof w:val="0"/>
          <w:sz w:val="24"/>
          <w:szCs w:val="24"/>
          <w:lang w:val="en-US"/>
        </w:rPr>
        <w:t>3</w:t>
      </w:r>
      <w:r w:rsidR="0099388F" w:rsidRPr="000028B6">
        <w:rPr>
          <w:rFonts w:ascii="Times New Roman" w:hAnsi="Times New Roman" w:cs="Times New Roman"/>
          <w:noProof w:val="0"/>
          <w:sz w:val="24"/>
          <w:szCs w:val="24"/>
          <w:lang w:val="en-US"/>
        </w:rPr>
        <w:t>5</w:t>
      </w:r>
      <w:r w:rsidRPr="000028B6">
        <w:rPr>
          <w:rFonts w:ascii="Times New Roman" w:hAnsi="Times New Roman" w:cs="Times New Roman"/>
          <w:noProof w:val="0"/>
          <w:sz w:val="24"/>
          <w:szCs w:val="24"/>
          <w:lang w:val="en-US"/>
        </w:rPr>
        <w:t xml:space="preserve">]. </w:t>
      </w:r>
    </w:p>
    <w:p w14:paraId="4740677D" w14:textId="77777777" w:rsidR="00673EAD" w:rsidRPr="000028B6" w:rsidRDefault="00673EAD" w:rsidP="000028B6">
      <w:pPr>
        <w:spacing w:line="480" w:lineRule="auto"/>
        <w:rPr>
          <w:rFonts w:ascii="Times New Roman" w:hAnsi="Times New Roman" w:cs="Times New Roman"/>
          <w:noProof w:val="0"/>
          <w:sz w:val="24"/>
          <w:szCs w:val="24"/>
          <w:u w:val="single"/>
          <w:lang w:val="en-US"/>
        </w:rPr>
      </w:pPr>
      <w:r w:rsidRPr="000028B6">
        <w:rPr>
          <w:rFonts w:ascii="Times New Roman" w:hAnsi="Times New Roman" w:cs="Times New Roman"/>
          <w:noProof w:val="0"/>
          <w:sz w:val="24"/>
          <w:szCs w:val="24"/>
          <w:u w:val="single"/>
          <w:lang w:val="en-US"/>
        </w:rPr>
        <w:t xml:space="preserve">Serological testing </w:t>
      </w:r>
    </w:p>
    <w:p w14:paraId="2E07A228" w14:textId="5C23F1D9" w:rsidR="0097203D" w:rsidRPr="000028B6" w:rsidRDefault="00673EAD"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Serological tests reflect the antibody responses following exposure and may reflect long-term immunity against reinfection</w:t>
      </w:r>
      <w:r w:rsidR="00DE1533" w:rsidRPr="000028B6">
        <w:rPr>
          <w:rFonts w:ascii="Times New Roman" w:hAnsi="Times New Roman" w:cs="Times New Roman"/>
          <w:noProof w:val="0"/>
          <w:sz w:val="24"/>
          <w:szCs w:val="24"/>
          <w:lang w:val="en-US"/>
        </w:rPr>
        <w:t>. H</w:t>
      </w:r>
      <w:r w:rsidRPr="000028B6">
        <w:rPr>
          <w:rFonts w:ascii="Times New Roman" w:hAnsi="Times New Roman" w:cs="Times New Roman"/>
          <w:noProof w:val="0"/>
          <w:sz w:val="24"/>
          <w:szCs w:val="24"/>
          <w:lang w:val="en-US"/>
        </w:rPr>
        <w:t>owever</w:t>
      </w:r>
      <w:r w:rsidR="00DE1533"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protective antibody titers have not yet been established [</w:t>
      </w:r>
      <w:r w:rsidR="001E3F53" w:rsidRPr="000028B6">
        <w:rPr>
          <w:rFonts w:ascii="Times New Roman" w:hAnsi="Times New Roman" w:cs="Times New Roman"/>
          <w:noProof w:val="0"/>
          <w:sz w:val="24"/>
          <w:szCs w:val="24"/>
          <w:lang w:val="en-US"/>
        </w:rPr>
        <w:t>33</w:t>
      </w:r>
      <w:r w:rsidRPr="000028B6">
        <w:rPr>
          <w:rFonts w:ascii="Times New Roman" w:hAnsi="Times New Roman" w:cs="Times New Roman"/>
          <w:noProof w:val="0"/>
          <w:sz w:val="24"/>
          <w:szCs w:val="24"/>
          <w:lang w:val="en-US"/>
        </w:rPr>
        <w:t xml:space="preserve">]. Data indicate that following </w:t>
      </w:r>
      <w:r w:rsidR="00DE1533" w:rsidRPr="000028B6">
        <w:rPr>
          <w:rFonts w:ascii="Times New Roman" w:hAnsi="Times New Roman" w:cs="Times New Roman"/>
          <w:noProof w:val="0"/>
          <w:sz w:val="24"/>
          <w:szCs w:val="24"/>
          <w:lang w:val="en-US"/>
        </w:rPr>
        <w:t xml:space="preserve">an </w:t>
      </w:r>
      <w:r w:rsidRPr="000028B6">
        <w:rPr>
          <w:rFonts w:ascii="Times New Roman" w:hAnsi="Times New Roman" w:cs="Times New Roman"/>
          <w:noProof w:val="0"/>
          <w:sz w:val="24"/>
          <w:szCs w:val="24"/>
          <w:lang w:val="en-US"/>
        </w:rPr>
        <w:t xml:space="preserve">infection neutralizing </w:t>
      </w:r>
      <w:r w:rsidR="00DE1533" w:rsidRPr="000028B6">
        <w:rPr>
          <w:rFonts w:ascii="Times New Roman" w:hAnsi="Times New Roman" w:cs="Times New Roman"/>
          <w:noProof w:val="0"/>
          <w:sz w:val="24"/>
          <w:szCs w:val="24"/>
          <w:lang w:val="en-US"/>
        </w:rPr>
        <w:t xml:space="preserve">antibodies </w:t>
      </w:r>
      <w:r w:rsidRPr="000028B6">
        <w:rPr>
          <w:rFonts w:ascii="Times New Roman" w:hAnsi="Times New Roman" w:cs="Times New Roman"/>
          <w:noProof w:val="0"/>
          <w:sz w:val="24"/>
          <w:szCs w:val="24"/>
          <w:lang w:val="en-US"/>
        </w:rPr>
        <w:t xml:space="preserve">in protective titers are present for 3-6 months, </w:t>
      </w:r>
      <w:r w:rsidR="00DE1533" w:rsidRPr="000028B6">
        <w:rPr>
          <w:rFonts w:ascii="Times New Roman" w:hAnsi="Times New Roman" w:cs="Times New Roman"/>
          <w:noProof w:val="0"/>
          <w:sz w:val="24"/>
          <w:szCs w:val="24"/>
          <w:lang w:val="en-US"/>
        </w:rPr>
        <w:t xml:space="preserve">but </w:t>
      </w:r>
      <w:r w:rsidRPr="000028B6">
        <w:rPr>
          <w:rFonts w:ascii="Times New Roman" w:hAnsi="Times New Roman" w:cs="Times New Roman"/>
          <w:noProof w:val="0"/>
          <w:sz w:val="24"/>
          <w:szCs w:val="24"/>
          <w:lang w:val="en-US"/>
        </w:rPr>
        <w:t xml:space="preserve">it is unknown </w:t>
      </w:r>
      <w:r w:rsidR="00DE1533" w:rsidRPr="000028B6">
        <w:rPr>
          <w:rFonts w:ascii="Times New Roman" w:hAnsi="Times New Roman" w:cs="Times New Roman"/>
          <w:noProof w:val="0"/>
          <w:sz w:val="24"/>
          <w:szCs w:val="24"/>
          <w:lang w:val="en-US"/>
        </w:rPr>
        <w:t xml:space="preserve">whether </w:t>
      </w:r>
      <w:r w:rsidRPr="000028B6">
        <w:rPr>
          <w:rFonts w:ascii="Times New Roman" w:hAnsi="Times New Roman" w:cs="Times New Roman"/>
          <w:noProof w:val="0"/>
          <w:sz w:val="24"/>
          <w:szCs w:val="24"/>
          <w:lang w:val="en-US"/>
        </w:rPr>
        <w:t xml:space="preserve">neutralizing function will vary for </w:t>
      </w:r>
      <w:r w:rsidRPr="000028B6">
        <w:rPr>
          <w:rFonts w:ascii="Times New Roman" w:hAnsi="Times New Roman" w:cs="Times New Roman"/>
          <w:noProof w:val="0"/>
          <w:sz w:val="24"/>
          <w:szCs w:val="24"/>
          <w:lang w:val="en-US"/>
        </w:rPr>
        <w:lastRenderedPageBreak/>
        <w:t>the emerging viral variants. Due to</w:t>
      </w:r>
      <w:r w:rsidR="00DE1533" w:rsidRPr="000028B6">
        <w:rPr>
          <w:rFonts w:ascii="Times New Roman" w:hAnsi="Times New Roman" w:cs="Times New Roman"/>
          <w:noProof w:val="0"/>
          <w:sz w:val="24"/>
          <w:szCs w:val="24"/>
          <w:lang w:val="en-US"/>
        </w:rPr>
        <w:t xml:space="preserve"> the</w:t>
      </w:r>
      <w:r w:rsidRPr="000028B6">
        <w:rPr>
          <w:rFonts w:ascii="Times New Roman" w:hAnsi="Times New Roman" w:cs="Times New Roman"/>
          <w:noProof w:val="0"/>
          <w:sz w:val="24"/>
          <w:szCs w:val="24"/>
          <w:lang w:val="en-US"/>
        </w:rPr>
        <w:t xml:space="preserve"> serological window of 10-14 days tests detecting antibodies are not useful for the diagnosis of active SARS CoV-2 infection, with clinical utility as confirmation of infection in cases with clinically suspected COVID-19 and negative molecular test results. Serology may also be used for population surveillance studies, vaccine response analyses, to identify candidates for plasma donation, </w:t>
      </w:r>
      <w:r w:rsidR="00DE1533" w:rsidRPr="000028B6">
        <w:rPr>
          <w:rFonts w:ascii="Times New Roman" w:hAnsi="Times New Roman" w:cs="Times New Roman"/>
          <w:noProof w:val="0"/>
          <w:sz w:val="24"/>
          <w:szCs w:val="24"/>
          <w:lang w:val="en-US"/>
        </w:rPr>
        <w:t xml:space="preserve">and </w:t>
      </w:r>
      <w:r w:rsidRPr="000028B6">
        <w:rPr>
          <w:rFonts w:ascii="Times New Roman" w:hAnsi="Times New Roman" w:cs="Times New Roman"/>
          <w:noProof w:val="0"/>
          <w:sz w:val="24"/>
          <w:szCs w:val="24"/>
          <w:lang w:val="en-US"/>
        </w:rPr>
        <w:t xml:space="preserve">in the diagnostic workup of postinflammatory syndromes. To detect antibody responses following vaccination serological assays detecting IgG antibodies against </w:t>
      </w:r>
      <w:r w:rsidR="00DE1533"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S1 subunit of the spike protein should be used. Rapid immunochromatographic tests are of low sensitivity and specificity and should not be used in practice.</w:t>
      </w:r>
    </w:p>
    <w:p w14:paraId="2213658B" w14:textId="7F31A158" w:rsidR="00DC215A" w:rsidRPr="000028B6" w:rsidRDefault="001D7DD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Therapy</w:t>
      </w:r>
    </w:p>
    <w:p w14:paraId="2BC5CE6D" w14:textId="4BA3D76C" w:rsidR="008B7693" w:rsidRPr="000028B6" w:rsidRDefault="008B7693" w:rsidP="000028B6">
      <w:pPr>
        <w:spacing w:line="480" w:lineRule="auto"/>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In mildly sympt</w:t>
      </w:r>
      <w:r w:rsidR="00CD170A" w:rsidRPr="000028B6">
        <w:rPr>
          <w:rFonts w:ascii="Times New Roman" w:hAnsi="Times New Roman" w:cs="Times New Roman"/>
          <w:noProof w:val="0"/>
          <w:color w:val="000000" w:themeColor="text1"/>
          <w:sz w:val="24"/>
          <w:szCs w:val="24"/>
          <w:lang w:val="en-US"/>
        </w:rPr>
        <w:t>o</w:t>
      </w:r>
      <w:r w:rsidRPr="000028B6">
        <w:rPr>
          <w:rFonts w:ascii="Times New Roman" w:hAnsi="Times New Roman" w:cs="Times New Roman"/>
          <w:noProof w:val="0"/>
          <w:color w:val="000000" w:themeColor="text1"/>
          <w:sz w:val="24"/>
          <w:szCs w:val="24"/>
          <w:lang w:val="en-US"/>
        </w:rPr>
        <w:t>matic patients,</w:t>
      </w:r>
      <w:r w:rsidR="00893151" w:rsidRPr="000028B6">
        <w:rPr>
          <w:rFonts w:ascii="Times New Roman" w:hAnsi="Times New Roman" w:cs="Times New Roman"/>
          <w:noProof w:val="0"/>
          <w:color w:val="000000" w:themeColor="text1"/>
          <w:sz w:val="24"/>
          <w:szCs w:val="24"/>
          <w:lang w:val="en-US"/>
        </w:rPr>
        <w:t xml:space="preserve"> </w:t>
      </w:r>
      <w:r w:rsidRPr="000028B6">
        <w:rPr>
          <w:rFonts w:ascii="Times New Roman" w:hAnsi="Times New Roman" w:cs="Times New Roman"/>
          <w:noProof w:val="0"/>
          <w:color w:val="000000" w:themeColor="text1"/>
          <w:sz w:val="24"/>
          <w:szCs w:val="24"/>
          <w:lang w:val="en-US"/>
        </w:rPr>
        <w:t>only antipyretic</w:t>
      </w:r>
      <w:r w:rsidR="00AE3BE1" w:rsidRPr="000028B6">
        <w:rPr>
          <w:rFonts w:ascii="Times New Roman" w:hAnsi="Times New Roman" w:cs="Times New Roman"/>
          <w:noProof w:val="0"/>
          <w:color w:val="000000" w:themeColor="text1"/>
          <w:sz w:val="24"/>
          <w:szCs w:val="24"/>
          <w:lang w:val="en-US"/>
        </w:rPr>
        <w:t xml:space="preserve">, </w:t>
      </w:r>
      <w:r w:rsidRPr="000028B6">
        <w:rPr>
          <w:rFonts w:ascii="Times New Roman" w:hAnsi="Times New Roman" w:cs="Times New Roman"/>
          <w:noProof w:val="0"/>
          <w:color w:val="000000" w:themeColor="text1"/>
          <w:sz w:val="24"/>
          <w:szCs w:val="24"/>
          <w:lang w:val="en-US"/>
        </w:rPr>
        <w:t xml:space="preserve">antitussive drugs </w:t>
      </w:r>
      <w:r w:rsidR="00AE3BE1" w:rsidRPr="000028B6">
        <w:rPr>
          <w:rFonts w:ascii="Times New Roman" w:hAnsi="Times New Roman" w:cs="Times New Roman"/>
          <w:noProof w:val="0"/>
          <w:color w:val="000000" w:themeColor="text1"/>
          <w:sz w:val="24"/>
          <w:szCs w:val="24"/>
          <w:lang w:val="en-US"/>
        </w:rPr>
        <w:t xml:space="preserve">and inhaled budesonide, </w:t>
      </w:r>
      <w:r w:rsidRPr="000028B6">
        <w:rPr>
          <w:rFonts w:ascii="Times New Roman" w:hAnsi="Times New Roman" w:cs="Times New Roman"/>
          <w:noProof w:val="0"/>
          <w:color w:val="000000" w:themeColor="text1"/>
          <w:sz w:val="24"/>
          <w:szCs w:val="24"/>
          <w:lang w:val="en-US"/>
        </w:rPr>
        <w:t xml:space="preserve">are recommended. Vitamin D3 supplementation and low-molecular-weight heparin in prophylactic doses should be determined individually. In moderate or severe disease primary treatment </w:t>
      </w:r>
      <w:r w:rsidR="0049237E" w:rsidRPr="000028B6">
        <w:rPr>
          <w:rFonts w:ascii="Times New Roman" w:hAnsi="Times New Roman" w:cs="Times New Roman"/>
          <w:noProof w:val="0"/>
          <w:color w:val="000000" w:themeColor="text1"/>
          <w:sz w:val="24"/>
          <w:szCs w:val="24"/>
          <w:lang w:val="en-US"/>
        </w:rPr>
        <w:t xml:space="preserve">is </w:t>
      </w:r>
      <w:r w:rsidRPr="000028B6">
        <w:rPr>
          <w:rFonts w:ascii="Times New Roman" w:hAnsi="Times New Roman" w:cs="Times New Roman"/>
          <w:noProof w:val="0"/>
          <w:color w:val="000000" w:themeColor="text1"/>
          <w:sz w:val="24"/>
          <w:szCs w:val="24"/>
          <w:lang w:val="en-US"/>
        </w:rPr>
        <w:t xml:space="preserve">remdesivir, tocilizumab, </w:t>
      </w:r>
      <w:r w:rsidR="00893151" w:rsidRPr="000028B6">
        <w:rPr>
          <w:rFonts w:ascii="Times New Roman" w:hAnsi="Times New Roman" w:cs="Times New Roman"/>
          <w:noProof w:val="0"/>
          <w:color w:val="000000" w:themeColor="text1"/>
          <w:sz w:val="24"/>
          <w:szCs w:val="24"/>
          <w:lang w:val="en-US"/>
        </w:rPr>
        <w:t>dexamethasone</w:t>
      </w:r>
      <w:r w:rsidRPr="000028B6">
        <w:rPr>
          <w:rFonts w:ascii="Times New Roman" w:hAnsi="Times New Roman" w:cs="Times New Roman"/>
          <w:noProof w:val="0"/>
          <w:color w:val="000000" w:themeColor="text1"/>
          <w:sz w:val="24"/>
          <w:szCs w:val="24"/>
          <w:lang w:val="en-US"/>
        </w:rPr>
        <w:t xml:space="preserve"> or methylprednisolone. As a supportive therapy, low-molecular-weight heparins, rehydration, antibiotics (if necessary) and symptomatic medications are recommended. The vast majority of hospitalized patients require oxygen supplementation, and the flow depends on the demand. In patients with critically severe disease with respiratory failure, it is recommended to use high-flow oxygen therapy,</w:t>
      </w:r>
      <w:r w:rsidR="00893151" w:rsidRPr="000028B6">
        <w:rPr>
          <w:rFonts w:ascii="Times New Roman" w:hAnsi="Times New Roman" w:cs="Times New Roman"/>
          <w:noProof w:val="0"/>
          <w:color w:val="000000" w:themeColor="text1"/>
          <w:sz w:val="24"/>
          <w:szCs w:val="24"/>
          <w:lang w:val="en-US"/>
        </w:rPr>
        <w:t xml:space="preserve"> </w:t>
      </w:r>
      <w:r w:rsidRPr="000028B6">
        <w:rPr>
          <w:rFonts w:ascii="Times New Roman" w:hAnsi="Times New Roman" w:cs="Times New Roman"/>
          <w:noProof w:val="0"/>
          <w:color w:val="000000" w:themeColor="text1"/>
          <w:sz w:val="24"/>
          <w:szCs w:val="24"/>
          <w:lang w:val="en-US"/>
        </w:rPr>
        <w:t xml:space="preserve">mechanical ventilation or ECMO. So the treatment </w:t>
      </w:r>
      <w:r w:rsidR="00C239F8" w:rsidRPr="000028B6">
        <w:rPr>
          <w:rFonts w:ascii="Times New Roman" w:hAnsi="Times New Roman" w:cs="Times New Roman"/>
          <w:noProof w:val="0"/>
          <w:color w:val="000000" w:themeColor="text1"/>
          <w:sz w:val="24"/>
          <w:szCs w:val="24"/>
          <w:lang w:val="en-US"/>
        </w:rPr>
        <w:t>regimen</w:t>
      </w:r>
      <w:r w:rsidRPr="000028B6">
        <w:rPr>
          <w:rFonts w:ascii="Times New Roman" w:hAnsi="Times New Roman" w:cs="Times New Roman"/>
          <w:noProof w:val="0"/>
          <w:color w:val="000000" w:themeColor="text1"/>
          <w:sz w:val="24"/>
          <w:szCs w:val="24"/>
          <w:lang w:val="en-US"/>
        </w:rPr>
        <w:t xml:space="preserve"> depends on the stage of the disease and is detailed below.</w:t>
      </w:r>
    </w:p>
    <w:p w14:paraId="61ECEF52" w14:textId="64FFF1E7" w:rsidR="00DC215A" w:rsidRPr="000028B6" w:rsidRDefault="001D7DDC" w:rsidP="000028B6">
      <w:pPr>
        <w:pStyle w:val="Akapitzlist"/>
        <w:numPr>
          <w:ilvl w:val="0"/>
          <w:numId w:val="1"/>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Stage</w:t>
      </w:r>
      <w:r w:rsidR="00DC215A" w:rsidRPr="000028B6">
        <w:rPr>
          <w:rFonts w:ascii="Times New Roman" w:hAnsi="Times New Roman" w:cs="Times New Roman"/>
          <w:noProof w:val="0"/>
          <w:sz w:val="24"/>
          <w:szCs w:val="24"/>
          <w:lang w:val="en-US"/>
        </w:rPr>
        <w:t xml:space="preserve"> 1</w:t>
      </w:r>
    </w:p>
    <w:p w14:paraId="5F35560D" w14:textId="042A26E5" w:rsidR="00C85203" w:rsidRPr="000028B6" w:rsidRDefault="00C85203" w:rsidP="000028B6">
      <w:pPr>
        <w:pStyle w:val="Akapitzlist"/>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In the vast majority of patients (80%–90%), SARS‐CoV‐2 infection develops with no or mild symptoms and such individuals do not require hospitalization</w:t>
      </w:r>
      <w:r w:rsidR="00533449" w:rsidRPr="000028B6">
        <w:rPr>
          <w:rFonts w:ascii="Times New Roman" w:hAnsi="Times New Roman" w:cs="Times New Roman"/>
          <w:noProof w:val="0"/>
          <w:sz w:val="24"/>
          <w:szCs w:val="24"/>
          <w:lang w:val="en-US"/>
        </w:rPr>
        <w:t xml:space="preserve"> [9]</w:t>
      </w:r>
      <w:r w:rsidRPr="000028B6">
        <w:rPr>
          <w:rFonts w:ascii="Times New Roman" w:hAnsi="Times New Roman" w:cs="Times New Roman"/>
          <w:noProof w:val="0"/>
          <w:sz w:val="24"/>
          <w:szCs w:val="24"/>
          <w:lang w:val="en-US"/>
        </w:rPr>
        <w:t xml:space="preserve">. However, in some cases, this clinical form may represent stage 1 of the disease, preceding the fully </w:t>
      </w:r>
      <w:r w:rsidRPr="000028B6">
        <w:rPr>
          <w:rFonts w:ascii="Times New Roman" w:hAnsi="Times New Roman" w:cs="Times New Roman"/>
          <w:noProof w:val="0"/>
          <w:sz w:val="24"/>
          <w:szCs w:val="24"/>
          <w:lang w:val="en-US"/>
        </w:rPr>
        <w:lastRenderedPageBreak/>
        <w:t>symptomatic stage 2 (Table 1). Stage 1 patients followed up by a primary care physician usually require no treatment, and monitoring of their clinical status is a sufficient management option</w:t>
      </w:r>
      <w:r w:rsidR="00533449" w:rsidRPr="000028B6">
        <w:rPr>
          <w:rFonts w:ascii="Times New Roman" w:hAnsi="Times New Roman" w:cs="Times New Roman"/>
          <w:noProof w:val="0"/>
          <w:sz w:val="24"/>
          <w:szCs w:val="24"/>
          <w:lang w:val="en-US"/>
        </w:rPr>
        <w:t xml:space="preserve"> [9]</w:t>
      </w:r>
      <w:r w:rsidRPr="000028B6">
        <w:rPr>
          <w:rFonts w:ascii="Times New Roman" w:hAnsi="Times New Roman" w:cs="Times New Roman"/>
          <w:noProof w:val="0"/>
          <w:sz w:val="24"/>
          <w:szCs w:val="24"/>
          <w:lang w:val="en-US"/>
        </w:rPr>
        <w:t xml:space="preserve">. All adult patients staying at home should be registered in the Home Medical Care (Pulsocare) system </w:t>
      </w:r>
      <w:r w:rsidR="002C313A" w:rsidRPr="000028B6">
        <w:rPr>
          <w:rFonts w:ascii="Times New Roman" w:hAnsi="Times New Roman" w:cs="Times New Roman"/>
          <w:noProof w:val="0"/>
          <w:sz w:val="24"/>
          <w:szCs w:val="24"/>
          <w:lang w:val="en-US"/>
        </w:rPr>
        <w:t xml:space="preserve">with monitoring of </w:t>
      </w:r>
      <w:r w:rsidR="006956BD" w:rsidRPr="000028B6">
        <w:rPr>
          <w:rFonts w:ascii="Times New Roman" w:hAnsi="Times New Roman" w:cs="Times New Roman"/>
          <w:noProof w:val="0"/>
          <w:sz w:val="24"/>
          <w:szCs w:val="24"/>
          <w:lang w:val="en-US"/>
        </w:rPr>
        <w:t xml:space="preserve">oxygen saturation as measured by </w:t>
      </w:r>
      <w:r w:rsidR="002C313A" w:rsidRPr="000028B6">
        <w:rPr>
          <w:rFonts w:ascii="Times New Roman" w:hAnsi="Times New Roman" w:cs="Times New Roman"/>
          <w:noProof w:val="0"/>
          <w:sz w:val="24"/>
          <w:szCs w:val="24"/>
          <w:lang w:val="en-US"/>
        </w:rPr>
        <w:t xml:space="preserve">a </w:t>
      </w:r>
      <w:r w:rsidR="006956BD" w:rsidRPr="000028B6">
        <w:rPr>
          <w:rFonts w:ascii="Times New Roman" w:hAnsi="Times New Roman" w:cs="Times New Roman"/>
          <w:noProof w:val="0"/>
          <w:sz w:val="24"/>
          <w:szCs w:val="24"/>
          <w:lang w:val="en-US"/>
        </w:rPr>
        <w:t xml:space="preserve">pulse oximeter </w:t>
      </w:r>
      <w:r w:rsidRPr="000028B6">
        <w:rPr>
          <w:rFonts w:ascii="Times New Roman" w:hAnsi="Times New Roman" w:cs="Times New Roman"/>
          <w:noProof w:val="0"/>
          <w:sz w:val="24"/>
          <w:szCs w:val="24"/>
          <w:lang w:val="en-US"/>
        </w:rPr>
        <w:t>(SpO</w:t>
      </w:r>
      <w:r w:rsidRPr="000028B6">
        <w:rPr>
          <w:rFonts w:ascii="Times New Roman" w:hAnsi="Times New Roman" w:cs="Times New Roman"/>
          <w:noProof w:val="0"/>
          <w:sz w:val="24"/>
          <w:szCs w:val="24"/>
          <w:vertAlign w:val="subscript"/>
          <w:lang w:val="en-US"/>
        </w:rPr>
        <w:t>2</w:t>
      </w:r>
      <w:r w:rsidR="006956BD"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which should be at least 94%. All patients followed by the Pulsocare system who report measurements are looked after by consultants and </w:t>
      </w:r>
      <w:r w:rsidR="000A114D" w:rsidRPr="000028B6">
        <w:rPr>
          <w:rFonts w:ascii="Times New Roman" w:hAnsi="Times New Roman" w:cs="Times New Roman"/>
          <w:noProof w:val="0"/>
          <w:sz w:val="24"/>
          <w:szCs w:val="24"/>
          <w:lang w:val="en-US"/>
        </w:rPr>
        <w:t xml:space="preserve">physicians </w:t>
      </w:r>
      <w:r w:rsidRPr="000028B6">
        <w:rPr>
          <w:rFonts w:ascii="Times New Roman" w:hAnsi="Times New Roman" w:cs="Times New Roman"/>
          <w:noProof w:val="0"/>
          <w:sz w:val="24"/>
          <w:szCs w:val="24"/>
          <w:lang w:val="en-US"/>
        </w:rPr>
        <w:t>who will assess indications for hospitalization in the event of the occurrence of alarm values of measurements and may call the Medical Rescue Team. However, baseline oxygen saturation in patients with chronic respiratory diseases can be decreased, which does not necessarily mean</w:t>
      </w:r>
      <w:r w:rsidR="000A114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that SARS‐CoV‐2</w:t>
      </w:r>
      <w:r w:rsidR="002C313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induced respiratory failure is progressing. If symptoms arise, patients may require antipyretic agents (non-steroidal anti-inflammatory drugs or paracetamol </w:t>
      </w:r>
      <w:r w:rsidR="002C313A" w:rsidRPr="000028B6">
        <w:rPr>
          <w:rFonts w:ascii="Times New Roman" w:hAnsi="Times New Roman" w:cs="Times New Roman"/>
          <w:noProof w:val="0"/>
          <w:sz w:val="24"/>
          <w:szCs w:val="24"/>
          <w:lang w:val="en-US"/>
        </w:rPr>
        <w:t xml:space="preserve">is </w:t>
      </w:r>
      <w:r w:rsidRPr="000028B6">
        <w:rPr>
          <w:rFonts w:ascii="Times New Roman" w:hAnsi="Times New Roman" w:cs="Times New Roman"/>
          <w:noProof w:val="0"/>
          <w:sz w:val="24"/>
          <w:szCs w:val="24"/>
          <w:lang w:val="en-US"/>
        </w:rPr>
        <w:t>most effective). It is recommended to supplement vitamin D3 in each patient, in accordance with the recommendations for the Polish population</w:t>
      </w:r>
      <w:r w:rsidR="002638C6" w:rsidRPr="000028B6">
        <w:rPr>
          <w:rFonts w:ascii="Times New Roman" w:hAnsi="Times New Roman" w:cs="Times New Roman"/>
          <w:noProof w:val="0"/>
          <w:sz w:val="24"/>
          <w:szCs w:val="24"/>
          <w:lang w:val="en-US"/>
        </w:rPr>
        <w:t xml:space="preserve"> [9]</w:t>
      </w:r>
      <w:r w:rsidRPr="000028B6">
        <w:rPr>
          <w:rFonts w:ascii="Times New Roman" w:hAnsi="Times New Roman" w:cs="Times New Roman"/>
          <w:noProof w:val="0"/>
          <w:sz w:val="24"/>
          <w:szCs w:val="24"/>
          <w:lang w:val="en-US"/>
        </w:rPr>
        <w:t>. There is evidence indicating a risk of a more severe course of the disease in patients with vitamin D3 deficiency, with a low risk associated with the use of this agent [</w:t>
      </w:r>
      <w:r w:rsidR="00E848D4" w:rsidRPr="000028B6">
        <w:rPr>
          <w:rFonts w:ascii="Times New Roman" w:hAnsi="Times New Roman" w:cs="Times New Roman"/>
          <w:noProof w:val="0"/>
          <w:sz w:val="24"/>
          <w:szCs w:val="24"/>
          <w:lang w:val="en-US"/>
        </w:rPr>
        <w:t>3</w:t>
      </w:r>
      <w:r w:rsidR="001E3F53" w:rsidRPr="000028B6">
        <w:rPr>
          <w:rFonts w:ascii="Times New Roman" w:hAnsi="Times New Roman" w:cs="Times New Roman"/>
          <w:noProof w:val="0"/>
          <w:sz w:val="24"/>
          <w:szCs w:val="24"/>
          <w:lang w:val="en-US"/>
        </w:rPr>
        <w:t>6</w:t>
      </w:r>
      <w:r w:rsidRPr="000028B6">
        <w:rPr>
          <w:rFonts w:ascii="Times New Roman" w:hAnsi="Times New Roman" w:cs="Times New Roman"/>
          <w:noProof w:val="0"/>
          <w:sz w:val="24"/>
          <w:szCs w:val="24"/>
          <w:lang w:val="en-US"/>
        </w:rPr>
        <w:t>]. It is recommended to use antitussive drugs in patients with severe cough (making it difficult to talk and sleep). In severe cases, the use of agents containing codeine can be considered</w:t>
      </w:r>
      <w:r w:rsidR="000A114D" w:rsidRPr="000028B6">
        <w:rPr>
          <w:rFonts w:ascii="Times New Roman" w:hAnsi="Times New Roman" w:cs="Times New Roman"/>
          <w:noProof w:val="0"/>
          <w:sz w:val="24"/>
          <w:szCs w:val="24"/>
          <w:lang w:val="en-US"/>
        </w:rPr>
        <w:t>, although its abuse and misuse may cause respiratory depression</w:t>
      </w:r>
      <w:r w:rsidRPr="000028B6">
        <w:rPr>
          <w:rFonts w:ascii="Times New Roman" w:hAnsi="Times New Roman" w:cs="Times New Roman"/>
          <w:noProof w:val="0"/>
          <w:sz w:val="24"/>
          <w:szCs w:val="24"/>
          <w:lang w:val="en-US"/>
        </w:rPr>
        <w:t xml:space="preserve">. </w:t>
      </w:r>
      <w:r w:rsidR="00AE3BE1" w:rsidRPr="000028B6">
        <w:rPr>
          <w:rFonts w:ascii="Times New Roman" w:hAnsi="Times New Roman" w:cs="Times New Roman"/>
          <w:noProof w:val="0"/>
          <w:sz w:val="24"/>
          <w:szCs w:val="24"/>
          <w:lang w:val="en-US"/>
        </w:rPr>
        <w:t>In adult patients with symptomatic COVID-19, it is recommended to administer budesonide in a daily dose of 2 x 800 µg by inhalation [</w:t>
      </w:r>
      <w:r w:rsidR="009038EB">
        <w:rPr>
          <w:rFonts w:ascii="Times New Roman" w:hAnsi="Times New Roman" w:cs="Times New Roman"/>
          <w:noProof w:val="0"/>
          <w:sz w:val="24"/>
          <w:szCs w:val="24"/>
          <w:lang w:val="en-US"/>
        </w:rPr>
        <w:t>37</w:t>
      </w:r>
      <w:r w:rsidR="00AE3BE1"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In patients who are chronically bedridden and those with risk factors for deep vein thrombosis and/or pulmonary embolism, a prophylactic dose of </w:t>
      </w:r>
      <w:r w:rsidR="002C6A3F" w:rsidRPr="000028B6">
        <w:rPr>
          <w:rFonts w:ascii="Times New Roman" w:hAnsi="Times New Roman" w:cs="Times New Roman"/>
          <w:noProof w:val="0"/>
          <w:sz w:val="24"/>
          <w:szCs w:val="24"/>
          <w:lang w:val="en-US"/>
        </w:rPr>
        <w:t>low-molecu</w:t>
      </w:r>
      <w:r w:rsidR="00CD170A" w:rsidRPr="000028B6">
        <w:rPr>
          <w:rFonts w:ascii="Times New Roman" w:hAnsi="Times New Roman" w:cs="Times New Roman"/>
          <w:noProof w:val="0"/>
          <w:sz w:val="24"/>
          <w:szCs w:val="24"/>
          <w:lang w:val="en-US"/>
        </w:rPr>
        <w:t>lar</w:t>
      </w:r>
      <w:r w:rsidR="002C6A3F" w:rsidRPr="000028B6">
        <w:rPr>
          <w:rFonts w:ascii="Times New Roman" w:hAnsi="Times New Roman" w:cs="Times New Roman"/>
          <w:noProof w:val="0"/>
          <w:sz w:val="24"/>
          <w:szCs w:val="24"/>
          <w:lang w:val="en-US"/>
        </w:rPr>
        <w:t>-weight</w:t>
      </w:r>
      <w:r w:rsidRPr="000028B6">
        <w:rPr>
          <w:rFonts w:ascii="Times New Roman" w:hAnsi="Times New Roman" w:cs="Times New Roman"/>
          <w:noProof w:val="0"/>
          <w:sz w:val="24"/>
          <w:szCs w:val="24"/>
          <w:lang w:val="en-US"/>
        </w:rPr>
        <w:t xml:space="preserve"> heparin is recommended [</w:t>
      </w:r>
      <w:r w:rsidR="00E848D4" w:rsidRPr="000028B6">
        <w:rPr>
          <w:rFonts w:ascii="Times New Roman" w:hAnsi="Times New Roman" w:cs="Times New Roman"/>
          <w:noProof w:val="0"/>
          <w:sz w:val="24"/>
          <w:szCs w:val="24"/>
          <w:lang w:val="en-US"/>
        </w:rPr>
        <w:t>3</w:t>
      </w:r>
      <w:r w:rsidR="001E3F53" w:rsidRPr="000028B6">
        <w:rPr>
          <w:rFonts w:ascii="Times New Roman" w:hAnsi="Times New Roman" w:cs="Times New Roman"/>
          <w:noProof w:val="0"/>
          <w:sz w:val="24"/>
          <w:szCs w:val="24"/>
          <w:lang w:val="en-US"/>
        </w:rPr>
        <w:t>8</w:t>
      </w:r>
      <w:r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3</w:t>
      </w:r>
      <w:r w:rsidR="001E3F53" w:rsidRPr="000028B6">
        <w:rPr>
          <w:rFonts w:ascii="Times New Roman" w:hAnsi="Times New Roman" w:cs="Times New Roman"/>
          <w:noProof w:val="0"/>
          <w:sz w:val="24"/>
          <w:szCs w:val="24"/>
          <w:lang w:val="en-US"/>
        </w:rPr>
        <w:t>9</w:t>
      </w:r>
      <w:r w:rsidR="000028B6" w:rsidRPr="000028B6">
        <w:rPr>
          <w:rFonts w:ascii="Times New Roman" w:hAnsi="Times New Roman" w:cs="Times New Roman"/>
          <w:noProof w:val="0"/>
          <w:sz w:val="24"/>
          <w:szCs w:val="24"/>
          <w:lang w:val="en-US"/>
        </w:rPr>
        <w:t>, 40</w:t>
      </w:r>
      <w:r w:rsidRPr="000028B6">
        <w:rPr>
          <w:rFonts w:ascii="Times New Roman" w:hAnsi="Times New Roman" w:cs="Times New Roman"/>
          <w:noProof w:val="0"/>
          <w:sz w:val="24"/>
          <w:szCs w:val="24"/>
          <w:lang w:val="en-US"/>
        </w:rPr>
        <w:t>]. However, there is insufficient evidence to support or not recommend the routine use of antiplatelet drugs in COVID-19 [</w:t>
      </w:r>
      <w:r w:rsidR="001E3F53"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1</w:t>
      </w:r>
      <w:r w:rsidRPr="000028B6">
        <w:rPr>
          <w:rFonts w:ascii="Times New Roman" w:hAnsi="Times New Roman" w:cs="Times New Roman"/>
          <w:noProof w:val="0"/>
          <w:sz w:val="24"/>
          <w:szCs w:val="24"/>
          <w:lang w:val="en-US"/>
        </w:rPr>
        <w:t xml:space="preserve">]. Of note, patients with stage 1 disease should not be treated with glucocorticosteroids. These drugs have been shown to be ineffective in patients who do not require oxygen </w:t>
      </w:r>
      <w:r w:rsidRPr="000028B6">
        <w:rPr>
          <w:rFonts w:ascii="Times New Roman" w:hAnsi="Times New Roman" w:cs="Times New Roman"/>
          <w:noProof w:val="0"/>
          <w:sz w:val="24"/>
          <w:szCs w:val="24"/>
          <w:lang w:val="en-US"/>
        </w:rPr>
        <w:lastRenderedPageBreak/>
        <w:t>therapy. Furthermore, using glucocorticosteroids too early may increase the viral replication and, hence, worsen patient prognosis [</w:t>
      </w:r>
      <w:r w:rsidR="00E848D4" w:rsidRPr="000028B6">
        <w:rPr>
          <w:rFonts w:ascii="Times New Roman" w:hAnsi="Times New Roman" w:cs="Times New Roman"/>
          <w:noProof w:val="0"/>
          <w:sz w:val="24"/>
          <w:szCs w:val="24"/>
          <w:lang w:val="en-US"/>
        </w:rPr>
        <w:t>8</w:t>
      </w:r>
      <w:r w:rsidRPr="000028B6">
        <w:rPr>
          <w:rFonts w:ascii="Times New Roman" w:hAnsi="Times New Roman" w:cs="Times New Roman"/>
          <w:noProof w:val="0"/>
          <w:sz w:val="24"/>
          <w:szCs w:val="24"/>
          <w:lang w:val="en-US"/>
        </w:rPr>
        <w:t>].</w:t>
      </w:r>
    </w:p>
    <w:p w14:paraId="2001CF1A" w14:textId="0FA71702" w:rsidR="00C85203" w:rsidRPr="000028B6" w:rsidRDefault="00C85203" w:rsidP="000028B6">
      <w:pPr>
        <w:pStyle w:val="Akapitzlist"/>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Treatment with antibiotics</w:t>
      </w:r>
      <w:r w:rsidR="002C313A" w:rsidRPr="000028B6">
        <w:rPr>
          <w:rFonts w:ascii="Times New Roman" w:hAnsi="Times New Roman" w:cs="Times New Roman"/>
          <w:noProof w:val="0"/>
          <w:sz w:val="24"/>
          <w:szCs w:val="24"/>
          <w:lang w:val="en-US"/>
        </w:rPr>
        <w:t xml:space="preserve"> or </w:t>
      </w:r>
      <w:r w:rsidRPr="000028B6">
        <w:rPr>
          <w:rFonts w:ascii="Times New Roman" w:hAnsi="Times New Roman" w:cs="Times New Roman"/>
          <w:noProof w:val="0"/>
          <w:sz w:val="24"/>
          <w:szCs w:val="24"/>
          <w:lang w:val="en-US"/>
        </w:rPr>
        <w:t xml:space="preserve">anti‐influenza drugs is not recommended in SARS‐CoV‐2 infection, unless it is required because of another medical </w:t>
      </w:r>
      <w:r w:rsidRPr="000028B6">
        <w:rPr>
          <w:rFonts w:ascii="Times New Roman" w:hAnsi="Times New Roman" w:cs="Times New Roman"/>
          <w:noProof w:val="0"/>
          <w:color w:val="000000" w:themeColor="text1"/>
          <w:sz w:val="24"/>
          <w:szCs w:val="24"/>
          <w:lang w:val="en-US"/>
        </w:rPr>
        <w:t>condition.</w:t>
      </w:r>
      <w:r w:rsidR="00170833" w:rsidRPr="000028B6">
        <w:rPr>
          <w:rFonts w:ascii="Times New Roman" w:hAnsi="Times New Roman" w:cs="Times New Roman"/>
          <w:color w:val="000000" w:themeColor="text1"/>
          <w:sz w:val="24"/>
          <w:szCs w:val="24"/>
          <w:lang w:val="en-GB"/>
        </w:rPr>
        <w:t xml:space="preserve"> </w:t>
      </w:r>
      <w:r w:rsidRPr="000028B6">
        <w:rPr>
          <w:rFonts w:ascii="Times New Roman" w:hAnsi="Times New Roman" w:cs="Times New Roman"/>
          <w:noProof w:val="0"/>
          <w:color w:val="000000" w:themeColor="text1"/>
          <w:sz w:val="24"/>
          <w:szCs w:val="24"/>
          <w:lang w:val="en-US"/>
        </w:rPr>
        <w:t xml:space="preserve">Home </w:t>
      </w:r>
      <w:r w:rsidRPr="000028B6">
        <w:rPr>
          <w:rFonts w:ascii="Times New Roman" w:hAnsi="Times New Roman" w:cs="Times New Roman"/>
          <w:noProof w:val="0"/>
          <w:sz w:val="24"/>
          <w:szCs w:val="24"/>
          <w:lang w:val="en-US"/>
        </w:rPr>
        <w:t>oxygen therapy is not recommended in the acute phase of the disease due to the risk of a sudden, life-threatening deterioration. The need to use oxygen therapy in the treatment of COVID-19 is an absolute indication for hospitalization.</w:t>
      </w:r>
    </w:p>
    <w:p w14:paraId="59A60730" w14:textId="3FB257F9" w:rsidR="00DC215A" w:rsidRPr="000028B6" w:rsidRDefault="001D7DDC" w:rsidP="000028B6">
      <w:pPr>
        <w:pStyle w:val="Akapitzlist"/>
        <w:numPr>
          <w:ilvl w:val="0"/>
          <w:numId w:val="1"/>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Stage</w:t>
      </w:r>
      <w:r w:rsidR="00DC215A" w:rsidRPr="000028B6">
        <w:rPr>
          <w:rFonts w:ascii="Times New Roman" w:hAnsi="Times New Roman" w:cs="Times New Roman"/>
          <w:noProof w:val="0"/>
          <w:sz w:val="24"/>
          <w:szCs w:val="24"/>
          <w:lang w:val="en-US"/>
        </w:rPr>
        <w:t xml:space="preserve"> 2</w:t>
      </w:r>
      <w:r w:rsidR="007D6E7F" w:rsidRPr="000028B6">
        <w:rPr>
          <w:rFonts w:ascii="Times New Roman" w:hAnsi="Times New Roman" w:cs="Times New Roman"/>
          <w:noProof w:val="0"/>
          <w:sz w:val="24"/>
          <w:szCs w:val="24"/>
          <w:lang w:val="en-US"/>
        </w:rPr>
        <w:t xml:space="preserve"> </w:t>
      </w:r>
    </w:p>
    <w:p w14:paraId="3B6EBAE0" w14:textId="2C5D85AF" w:rsidR="00871AB3" w:rsidRPr="000028B6" w:rsidRDefault="00871AB3" w:rsidP="000028B6">
      <w:pPr>
        <w:pStyle w:val="Akapitzlist"/>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Patients with increasing dyspnea and SpO</w:t>
      </w:r>
      <w:r w:rsidRPr="000028B6">
        <w:rPr>
          <w:rFonts w:ascii="Times New Roman" w:hAnsi="Times New Roman" w:cs="Times New Roman"/>
          <w:noProof w:val="0"/>
          <w:sz w:val="24"/>
          <w:szCs w:val="24"/>
          <w:vertAlign w:val="subscript"/>
          <w:lang w:val="en-US"/>
        </w:rPr>
        <w:t>2</w:t>
      </w:r>
      <w:r w:rsidRPr="000028B6">
        <w:rPr>
          <w:rFonts w:ascii="Times New Roman" w:hAnsi="Times New Roman" w:cs="Times New Roman"/>
          <w:noProof w:val="0"/>
          <w:sz w:val="24"/>
          <w:szCs w:val="24"/>
          <w:lang w:val="en-US"/>
        </w:rPr>
        <w:t xml:space="preserve"> &lt;9</w:t>
      </w:r>
      <w:r w:rsidR="00AC1D83" w:rsidRPr="000028B6">
        <w:rPr>
          <w:rFonts w:ascii="Times New Roman" w:hAnsi="Times New Roman" w:cs="Times New Roman"/>
          <w:noProof w:val="0"/>
          <w:sz w:val="24"/>
          <w:szCs w:val="24"/>
          <w:lang w:val="en-US"/>
        </w:rPr>
        <w:t>4</w:t>
      </w:r>
      <w:r w:rsidRPr="000028B6">
        <w:rPr>
          <w:rFonts w:ascii="Times New Roman" w:hAnsi="Times New Roman" w:cs="Times New Roman"/>
          <w:noProof w:val="0"/>
          <w:sz w:val="24"/>
          <w:szCs w:val="24"/>
          <w:lang w:val="en-US"/>
        </w:rPr>
        <w:t>% need oxygen therapy, which requires hospitalization. As part of the thromboembolic prevention, all hospitalized patients should receive low-molecular-weight heparin, usually in prophylactic doses, which can be increased in justified cases. If symptoms have appeared within 7 days, the patient requires oxygen therapy</w:t>
      </w:r>
      <w:r w:rsidR="00D42FD2"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and </w:t>
      </w:r>
      <w:r w:rsidR="00D42FD2" w:rsidRPr="000028B6">
        <w:rPr>
          <w:rFonts w:ascii="Times New Roman" w:hAnsi="Times New Roman" w:cs="Times New Roman"/>
          <w:noProof w:val="0"/>
          <w:sz w:val="24"/>
          <w:szCs w:val="24"/>
          <w:lang w:val="en-US"/>
        </w:rPr>
        <w:t xml:space="preserve">if </w:t>
      </w:r>
      <w:r w:rsidRPr="000028B6">
        <w:rPr>
          <w:rFonts w:ascii="Times New Roman" w:hAnsi="Times New Roman" w:cs="Times New Roman"/>
          <w:noProof w:val="0"/>
          <w:sz w:val="24"/>
          <w:szCs w:val="24"/>
          <w:lang w:val="en-US"/>
        </w:rPr>
        <w:t>SpO</w:t>
      </w:r>
      <w:r w:rsidRPr="000028B6">
        <w:rPr>
          <w:rFonts w:ascii="Times New Roman" w:hAnsi="Times New Roman" w:cs="Times New Roman"/>
          <w:noProof w:val="0"/>
          <w:sz w:val="24"/>
          <w:szCs w:val="24"/>
          <w:vertAlign w:val="subscript"/>
          <w:lang w:val="en-US"/>
        </w:rPr>
        <w:t>2</w:t>
      </w:r>
      <w:r w:rsidRPr="000028B6">
        <w:rPr>
          <w:rFonts w:ascii="Times New Roman" w:hAnsi="Times New Roman" w:cs="Times New Roman"/>
          <w:noProof w:val="0"/>
          <w:sz w:val="24"/>
          <w:szCs w:val="24"/>
          <w:lang w:val="en-US"/>
        </w:rPr>
        <w:t xml:space="preserve"> is below 9</w:t>
      </w:r>
      <w:r w:rsidR="00AC1D83" w:rsidRPr="000028B6">
        <w:rPr>
          <w:rFonts w:ascii="Times New Roman" w:hAnsi="Times New Roman" w:cs="Times New Roman"/>
          <w:noProof w:val="0"/>
          <w:sz w:val="24"/>
          <w:szCs w:val="24"/>
          <w:lang w:val="en-US"/>
        </w:rPr>
        <w:t>4</w:t>
      </w:r>
      <w:r w:rsidRPr="000028B6">
        <w:rPr>
          <w:rFonts w:ascii="Times New Roman" w:hAnsi="Times New Roman" w:cs="Times New Roman"/>
          <w:noProof w:val="0"/>
          <w:sz w:val="24"/>
          <w:szCs w:val="24"/>
          <w:lang w:val="en-US"/>
        </w:rPr>
        <w:t>%, antiviral therapy is indicated. After 7 days of the disease, antiviral therapy becomes useless due to the disappearance of replication of the virus. The only currently approved antiviral drug with proven efficacy against SARS-CoV-2 in adults and children over 12 years of age is remdesivir, which should be administered by intravenous infusion at a dose of 200 mg on the first day, and 100 mg on the following four days</w:t>
      </w:r>
      <w:r w:rsidR="007D6E7F"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5</w:t>
      </w:r>
      <w:r w:rsidR="007D6E7F"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6</w:t>
      </w:r>
      <w:r w:rsidR="007D6E7F"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Extending the treatment period beyond 5 days does not improve the effectiveness of the therapy</w:t>
      </w:r>
      <w:r w:rsidR="007D6E7F" w:rsidRPr="000028B6">
        <w:rPr>
          <w:rFonts w:ascii="Times New Roman" w:hAnsi="Times New Roman" w:cs="Times New Roman"/>
          <w:noProof w:val="0"/>
          <w:sz w:val="24"/>
          <w:szCs w:val="24"/>
          <w:lang w:val="en-US"/>
        </w:rPr>
        <w:t xml:space="preserve"> [</w:t>
      </w:r>
      <w:r w:rsidR="001E3F53"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2</w:t>
      </w:r>
      <w:r w:rsidR="007D6E7F"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The main contraindication to the use of remdesivir is renal failure with GFR &lt;30 ml/min. Remdesivir should be discontinued if alanine aminotransferase levels exceed 5 times </w:t>
      </w:r>
      <w:r w:rsidR="00D42FD2" w:rsidRPr="000028B6">
        <w:rPr>
          <w:rFonts w:ascii="Times New Roman" w:hAnsi="Times New Roman" w:cs="Times New Roman"/>
          <w:noProof w:val="0"/>
          <w:sz w:val="24"/>
          <w:szCs w:val="24"/>
          <w:lang w:val="en-US"/>
        </w:rPr>
        <w:t xml:space="preserve">the </w:t>
      </w:r>
      <w:r w:rsidRPr="000028B6">
        <w:rPr>
          <w:rFonts w:ascii="Times New Roman" w:hAnsi="Times New Roman" w:cs="Times New Roman"/>
          <w:noProof w:val="0"/>
          <w:sz w:val="24"/>
          <w:szCs w:val="24"/>
          <w:lang w:val="en-US"/>
        </w:rPr>
        <w:t>upper limit of norm</w:t>
      </w:r>
      <w:r w:rsidR="00D42FD2" w:rsidRPr="000028B6">
        <w:rPr>
          <w:rFonts w:ascii="Times New Roman" w:hAnsi="Times New Roman" w:cs="Times New Roman"/>
          <w:noProof w:val="0"/>
          <w:sz w:val="24"/>
          <w:szCs w:val="24"/>
          <w:lang w:val="en-US"/>
        </w:rPr>
        <w:t>al</w:t>
      </w:r>
      <w:r w:rsidR="007D6E7F" w:rsidRPr="000028B6">
        <w:rPr>
          <w:rFonts w:ascii="Times New Roman" w:hAnsi="Times New Roman" w:cs="Times New Roman"/>
          <w:noProof w:val="0"/>
          <w:sz w:val="24"/>
          <w:szCs w:val="24"/>
          <w:lang w:val="en-US"/>
        </w:rPr>
        <w:t xml:space="preserve"> [</w:t>
      </w:r>
      <w:r w:rsidR="001E3F53"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3</w:t>
      </w:r>
      <w:r w:rsidR="007D6E7F"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In the case of lack of availability of remdesivir or contraindications to its use, the use of convalescent plasma may be considered. However</w:t>
      </w:r>
      <w:r w:rsidR="00D42FD2"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its effectiveness has not yet been clearly confirmed</w:t>
      </w:r>
      <w:r w:rsidR="00ED3A30" w:rsidRPr="000028B6">
        <w:rPr>
          <w:rFonts w:ascii="Times New Roman" w:hAnsi="Times New Roman" w:cs="Times New Roman"/>
          <w:noProof w:val="0"/>
          <w:sz w:val="24"/>
          <w:szCs w:val="24"/>
          <w:lang w:val="en-US"/>
        </w:rPr>
        <w:t xml:space="preserve"> [</w:t>
      </w:r>
      <w:r w:rsidR="001E3F53"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4</w:t>
      </w:r>
      <w:r w:rsidR="00ED3A30"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It is assumed that the therapeutic effect can be expected only when plasma with a high antibody tit</w:t>
      </w:r>
      <w:r w:rsidR="00CD170A" w:rsidRPr="000028B6">
        <w:rPr>
          <w:rFonts w:ascii="Times New Roman" w:hAnsi="Times New Roman" w:cs="Times New Roman"/>
          <w:noProof w:val="0"/>
          <w:sz w:val="24"/>
          <w:szCs w:val="24"/>
          <w:lang w:val="en-US"/>
        </w:rPr>
        <w:t>e</w:t>
      </w:r>
      <w:r w:rsidRPr="000028B6">
        <w:rPr>
          <w:rFonts w:ascii="Times New Roman" w:hAnsi="Times New Roman" w:cs="Times New Roman"/>
          <w:noProof w:val="0"/>
          <w:sz w:val="24"/>
          <w:szCs w:val="24"/>
          <w:lang w:val="en-US"/>
        </w:rPr>
        <w:t xml:space="preserve">r (at least 1: 500) is used. In the event of no clinical improvement despite </w:t>
      </w:r>
      <w:r w:rsidRPr="000028B6">
        <w:rPr>
          <w:rFonts w:ascii="Times New Roman" w:hAnsi="Times New Roman" w:cs="Times New Roman"/>
          <w:noProof w:val="0"/>
          <w:sz w:val="24"/>
          <w:szCs w:val="24"/>
          <w:lang w:val="en-US"/>
        </w:rPr>
        <w:lastRenderedPageBreak/>
        <w:t>the use of antiviral therapy, dexamethasone in a daily dose of 4-8 mg may be considered</w:t>
      </w:r>
      <w:r w:rsidR="00ED3A30" w:rsidRPr="000028B6">
        <w:rPr>
          <w:rFonts w:ascii="Times New Roman" w:hAnsi="Times New Roman" w:cs="Times New Roman"/>
          <w:noProof w:val="0"/>
          <w:sz w:val="24"/>
          <w:szCs w:val="24"/>
          <w:lang w:val="en-US"/>
        </w:rPr>
        <w:t xml:space="preserve"> [</w:t>
      </w:r>
      <w:r w:rsidR="00E848D4" w:rsidRPr="000028B6">
        <w:rPr>
          <w:rFonts w:ascii="Times New Roman" w:hAnsi="Times New Roman" w:cs="Times New Roman"/>
          <w:noProof w:val="0"/>
          <w:sz w:val="24"/>
          <w:szCs w:val="24"/>
          <w:lang w:val="en-US"/>
        </w:rPr>
        <w:t>8</w:t>
      </w:r>
      <w:r w:rsidR="00ED3A30"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However, it should not be used in the first week of illness due to the risk of an increase in viral replication.</w:t>
      </w:r>
      <w:r w:rsidR="004D486A" w:rsidRPr="000028B6">
        <w:rPr>
          <w:rFonts w:ascii="Times New Roman" w:hAnsi="Times New Roman" w:cs="Times New Roman"/>
          <w:noProof w:val="0"/>
          <w:sz w:val="24"/>
          <w:szCs w:val="24"/>
          <w:lang w:val="en-US"/>
        </w:rPr>
        <w:t xml:space="preserve"> Antibiotics can be considered in case of bacterial superinfection.</w:t>
      </w:r>
    </w:p>
    <w:p w14:paraId="516E9394" w14:textId="37E5CA9E" w:rsidR="00DC215A" w:rsidRPr="000028B6" w:rsidRDefault="001D7DDC" w:rsidP="000028B6">
      <w:pPr>
        <w:pStyle w:val="Akapitzlist"/>
        <w:numPr>
          <w:ilvl w:val="0"/>
          <w:numId w:val="1"/>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Stage</w:t>
      </w:r>
      <w:r w:rsidR="00DC215A" w:rsidRPr="000028B6">
        <w:rPr>
          <w:rFonts w:ascii="Times New Roman" w:hAnsi="Times New Roman" w:cs="Times New Roman"/>
          <w:noProof w:val="0"/>
          <w:sz w:val="24"/>
          <w:szCs w:val="24"/>
          <w:lang w:val="en-US"/>
        </w:rPr>
        <w:t xml:space="preserve"> 3</w:t>
      </w:r>
    </w:p>
    <w:p w14:paraId="274FC083" w14:textId="2F36B471" w:rsidR="004D486A" w:rsidRPr="000028B6" w:rsidRDefault="004D486A" w:rsidP="000028B6">
      <w:pPr>
        <w:pStyle w:val="Akapitzlist"/>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Clinical deterioration usually occurring at the beginning of the 2nd week of the disease may be a sign of a cytokine storm commencing. Due to the increasing shortness of breath and the reduction of SpO</w:t>
      </w:r>
      <w:r w:rsidRPr="000028B6">
        <w:rPr>
          <w:rFonts w:ascii="Times New Roman" w:hAnsi="Times New Roman" w:cs="Times New Roman"/>
          <w:noProof w:val="0"/>
          <w:sz w:val="24"/>
          <w:szCs w:val="24"/>
          <w:vertAlign w:val="subscript"/>
          <w:lang w:val="en-US"/>
        </w:rPr>
        <w:t>2</w:t>
      </w:r>
      <w:r w:rsidRPr="000028B6">
        <w:rPr>
          <w:rFonts w:ascii="Times New Roman" w:hAnsi="Times New Roman" w:cs="Times New Roman"/>
          <w:noProof w:val="0"/>
          <w:sz w:val="24"/>
          <w:szCs w:val="24"/>
          <w:lang w:val="en-US"/>
        </w:rPr>
        <w:t xml:space="preserve"> below 90%, low-flow oxygen therapy ensuring the supply of oxygen up to a maximum of 15 l/min is no longer sufficient. Patients require high-flow oxygen therapy, reaching 60 l/min. In this phase of the disease, it is crucial to catch the onset of the cytokine storm. The presence of an increase in IL-6 concentration above 100 pg/ml justifies the administration of tocilizumab, an inhibitor of IL-6 receptors, which significantly reduces the risk of mechanical ventilation and death</w:t>
      </w:r>
      <w:r w:rsidR="00ED3A30" w:rsidRPr="000028B6">
        <w:rPr>
          <w:rFonts w:ascii="Times New Roman" w:hAnsi="Times New Roman" w:cs="Times New Roman"/>
          <w:noProof w:val="0"/>
          <w:sz w:val="24"/>
          <w:szCs w:val="24"/>
          <w:lang w:val="en-US"/>
        </w:rPr>
        <w:t xml:space="preserve"> [</w:t>
      </w:r>
      <w:r w:rsidR="006F5A9B" w:rsidRPr="000028B6">
        <w:rPr>
          <w:rFonts w:ascii="Times New Roman" w:hAnsi="Times New Roman" w:cs="Times New Roman"/>
          <w:noProof w:val="0"/>
          <w:sz w:val="24"/>
          <w:szCs w:val="24"/>
          <w:lang w:val="en-US"/>
        </w:rPr>
        <w:t>7</w:t>
      </w:r>
      <w:r w:rsidR="00ED3A30" w:rsidRPr="000028B6">
        <w:rPr>
          <w:rFonts w:ascii="Times New Roman" w:hAnsi="Times New Roman" w:cs="Times New Roman"/>
          <w:noProof w:val="0"/>
          <w:sz w:val="24"/>
          <w:szCs w:val="24"/>
          <w:lang w:val="en-US"/>
        </w:rPr>
        <w:t xml:space="preserve">, </w:t>
      </w:r>
      <w:r w:rsidR="006F5A9B"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5</w:t>
      </w:r>
      <w:r w:rsidR="00ED3A30"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w:t>
      </w:r>
      <w:r w:rsidR="00675F1A" w:rsidRPr="000028B6">
        <w:rPr>
          <w:rFonts w:ascii="Times New Roman" w:hAnsi="Times New Roman" w:cs="Times New Roman"/>
          <w:noProof w:val="0"/>
          <w:sz w:val="24"/>
          <w:szCs w:val="24"/>
          <w:lang w:val="en-US"/>
        </w:rPr>
        <w:t xml:space="preserve"> Tocilizumab should be administered as an intravenous infusion over 1 hour as a single dose based on body weight up to 800 mg (see table 1 for dosing details)</w:t>
      </w:r>
      <w:r w:rsidRPr="000028B6">
        <w:rPr>
          <w:rFonts w:ascii="Times New Roman" w:hAnsi="Times New Roman" w:cs="Times New Roman"/>
          <w:noProof w:val="0"/>
          <w:sz w:val="24"/>
          <w:szCs w:val="24"/>
          <w:lang w:val="en-US"/>
        </w:rPr>
        <w:t xml:space="preserve">. In the event of no effect, another infusion may be given after 8-12 hours. </w:t>
      </w:r>
      <w:r w:rsidR="009A0522" w:rsidRPr="000028B6">
        <w:rPr>
          <w:rFonts w:ascii="Times New Roman" w:hAnsi="Times New Roman" w:cs="Times New Roman"/>
          <w:noProof w:val="0"/>
          <w:sz w:val="24"/>
          <w:szCs w:val="24"/>
          <w:lang w:val="en-US"/>
        </w:rPr>
        <w:t xml:space="preserve">Tocilizumab should not be administered in patients with </w:t>
      </w:r>
      <w:r w:rsidR="00E75775" w:rsidRPr="000028B6">
        <w:rPr>
          <w:rFonts w:ascii="Times New Roman" w:hAnsi="Times New Roman" w:cs="Times New Roman"/>
          <w:noProof w:val="0"/>
          <w:sz w:val="24"/>
          <w:szCs w:val="24"/>
          <w:lang w:val="en-US"/>
        </w:rPr>
        <w:t xml:space="preserve">a </w:t>
      </w:r>
      <w:r w:rsidR="009A0522" w:rsidRPr="000028B6">
        <w:rPr>
          <w:rFonts w:ascii="Times New Roman" w:hAnsi="Times New Roman" w:cs="Times New Roman"/>
          <w:noProof w:val="0"/>
          <w:sz w:val="24"/>
          <w:szCs w:val="24"/>
          <w:lang w:val="en-US"/>
        </w:rPr>
        <w:t>neutrophil count below 2x10</w:t>
      </w:r>
      <w:r w:rsidR="009A0522" w:rsidRPr="000028B6">
        <w:rPr>
          <w:rFonts w:ascii="Times New Roman" w:hAnsi="Times New Roman" w:cs="Times New Roman"/>
          <w:noProof w:val="0"/>
          <w:sz w:val="24"/>
          <w:szCs w:val="24"/>
          <w:vertAlign w:val="superscript"/>
          <w:lang w:val="en-US"/>
        </w:rPr>
        <w:t>9</w:t>
      </w:r>
      <w:r w:rsidR="009A0522" w:rsidRPr="000028B6">
        <w:rPr>
          <w:rFonts w:ascii="Times New Roman" w:hAnsi="Times New Roman" w:cs="Times New Roman"/>
          <w:noProof w:val="0"/>
          <w:sz w:val="24"/>
          <w:szCs w:val="24"/>
          <w:lang w:val="en-US"/>
        </w:rPr>
        <w:t xml:space="preserve">/l, </w:t>
      </w:r>
      <w:r w:rsidR="00E75775" w:rsidRPr="000028B6">
        <w:rPr>
          <w:rFonts w:ascii="Times New Roman" w:hAnsi="Times New Roman" w:cs="Times New Roman"/>
          <w:noProof w:val="0"/>
          <w:sz w:val="24"/>
          <w:szCs w:val="24"/>
          <w:lang w:val="en-US"/>
        </w:rPr>
        <w:t xml:space="preserve">a </w:t>
      </w:r>
      <w:r w:rsidR="009A0522" w:rsidRPr="000028B6">
        <w:rPr>
          <w:rFonts w:ascii="Times New Roman" w:hAnsi="Times New Roman" w:cs="Times New Roman"/>
          <w:noProof w:val="0"/>
          <w:sz w:val="24"/>
          <w:szCs w:val="24"/>
          <w:lang w:val="en-US"/>
        </w:rPr>
        <w:t>platelet count below 50x10</w:t>
      </w:r>
      <w:r w:rsidR="009A0522" w:rsidRPr="000028B6">
        <w:rPr>
          <w:rFonts w:ascii="Times New Roman" w:hAnsi="Times New Roman" w:cs="Times New Roman"/>
          <w:noProof w:val="0"/>
          <w:sz w:val="24"/>
          <w:szCs w:val="24"/>
          <w:vertAlign w:val="superscript"/>
          <w:lang w:val="en-US"/>
        </w:rPr>
        <w:t>3</w:t>
      </w:r>
      <w:r w:rsidR="009A0522" w:rsidRPr="000028B6">
        <w:rPr>
          <w:rFonts w:ascii="Times New Roman" w:hAnsi="Times New Roman" w:cs="Times New Roman"/>
          <w:noProof w:val="0"/>
          <w:sz w:val="24"/>
          <w:szCs w:val="24"/>
          <w:lang w:val="en-US"/>
        </w:rPr>
        <w:t>/</w:t>
      </w:r>
      <w:r w:rsidR="009A0522" w:rsidRPr="000028B6">
        <w:rPr>
          <w:rFonts w:ascii="Times New Roman" w:hAnsi="Times New Roman" w:cs="Times New Roman"/>
          <w:noProof w:val="0"/>
          <w:sz w:val="24"/>
          <w:szCs w:val="24"/>
          <w:lang w:val="en-US"/>
        </w:rPr>
        <w:t>l or alanine aminotransferase levels exceed</w:t>
      </w:r>
      <w:r w:rsidR="00E75775" w:rsidRPr="000028B6">
        <w:rPr>
          <w:rFonts w:ascii="Times New Roman" w:hAnsi="Times New Roman" w:cs="Times New Roman"/>
          <w:noProof w:val="0"/>
          <w:sz w:val="24"/>
          <w:szCs w:val="24"/>
          <w:lang w:val="en-US"/>
        </w:rPr>
        <w:t>ing</w:t>
      </w:r>
      <w:r w:rsidR="009A0522" w:rsidRPr="000028B6">
        <w:rPr>
          <w:rFonts w:ascii="Times New Roman" w:hAnsi="Times New Roman" w:cs="Times New Roman"/>
          <w:noProof w:val="0"/>
          <w:sz w:val="24"/>
          <w:szCs w:val="24"/>
          <w:lang w:val="en-US"/>
        </w:rPr>
        <w:t xml:space="preserve"> 5 times </w:t>
      </w:r>
      <w:r w:rsidR="00E75775" w:rsidRPr="000028B6">
        <w:rPr>
          <w:rFonts w:ascii="Times New Roman" w:hAnsi="Times New Roman" w:cs="Times New Roman"/>
          <w:noProof w:val="0"/>
          <w:sz w:val="24"/>
          <w:szCs w:val="24"/>
          <w:lang w:val="en-US"/>
        </w:rPr>
        <w:t xml:space="preserve">the </w:t>
      </w:r>
      <w:r w:rsidR="009A0522" w:rsidRPr="000028B6">
        <w:rPr>
          <w:rFonts w:ascii="Times New Roman" w:hAnsi="Times New Roman" w:cs="Times New Roman"/>
          <w:noProof w:val="0"/>
          <w:sz w:val="24"/>
          <w:szCs w:val="24"/>
          <w:lang w:val="en-US"/>
        </w:rPr>
        <w:t>upper limit of norm</w:t>
      </w:r>
      <w:r w:rsidR="00E75775" w:rsidRPr="000028B6">
        <w:rPr>
          <w:rFonts w:ascii="Times New Roman" w:hAnsi="Times New Roman" w:cs="Times New Roman"/>
          <w:noProof w:val="0"/>
          <w:sz w:val="24"/>
          <w:szCs w:val="24"/>
          <w:lang w:val="en-US"/>
        </w:rPr>
        <w:t>al</w:t>
      </w:r>
      <w:r w:rsidR="009A0522" w:rsidRPr="000028B6">
        <w:rPr>
          <w:rFonts w:ascii="Times New Roman" w:hAnsi="Times New Roman" w:cs="Times New Roman"/>
          <w:noProof w:val="0"/>
          <w:sz w:val="24"/>
          <w:szCs w:val="24"/>
          <w:lang w:val="en-US"/>
        </w:rPr>
        <w:t xml:space="preserve"> [</w:t>
      </w:r>
      <w:r w:rsidR="006F5A9B"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6</w:t>
      </w:r>
      <w:r w:rsidR="009A0522"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At this stage of the disease, patients should still receive low-molecular-weight heparin and glucocorticosteroids, and </w:t>
      </w:r>
      <w:r w:rsidR="000E421C" w:rsidRPr="000028B6">
        <w:rPr>
          <w:rFonts w:ascii="Times New Roman" w:hAnsi="Times New Roman" w:cs="Times New Roman"/>
          <w:noProof w:val="0"/>
          <w:sz w:val="24"/>
          <w:szCs w:val="24"/>
          <w:lang w:val="en-US"/>
        </w:rPr>
        <w:t xml:space="preserve">antibiotics </w:t>
      </w:r>
      <w:r w:rsidRPr="000028B6">
        <w:rPr>
          <w:rFonts w:ascii="Times New Roman" w:hAnsi="Times New Roman" w:cs="Times New Roman"/>
          <w:noProof w:val="0"/>
          <w:sz w:val="24"/>
          <w:szCs w:val="24"/>
          <w:lang w:val="en-US"/>
        </w:rPr>
        <w:t>if necessary due to bacterial infections.</w:t>
      </w:r>
    </w:p>
    <w:p w14:paraId="2FB5D0CD" w14:textId="059ADD1A" w:rsidR="009A28CA" w:rsidRPr="000028B6" w:rsidRDefault="009A28CA" w:rsidP="000028B6">
      <w:pPr>
        <w:pStyle w:val="Akapitzlist"/>
        <w:numPr>
          <w:ilvl w:val="0"/>
          <w:numId w:val="1"/>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Stage 4</w:t>
      </w:r>
    </w:p>
    <w:p w14:paraId="527042A8" w14:textId="65FAAF07" w:rsidR="009A28CA" w:rsidRPr="000028B6" w:rsidRDefault="009A28CA" w:rsidP="000028B6">
      <w:pPr>
        <w:pStyle w:val="Akapitzlist"/>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Further deterioration of the patient's condition means the development of the stage in which acute respiratory distress syndrome (ARDS) occurs, requiring the use of high-flow oxygen therapy and in most such cases also tracheal intubation and mechanical ventilation, requiring the patient to be transferred to the intensive care unit. At this stage </w:t>
      </w:r>
      <w:r w:rsidRPr="000028B6">
        <w:rPr>
          <w:rFonts w:ascii="Times New Roman" w:hAnsi="Times New Roman" w:cs="Times New Roman"/>
          <w:noProof w:val="0"/>
          <w:sz w:val="24"/>
          <w:szCs w:val="24"/>
          <w:lang w:val="en-US"/>
        </w:rPr>
        <w:lastRenderedPageBreak/>
        <w:t>of the disease, 6</w:t>
      </w:r>
      <w:r w:rsidR="00AE3BE1" w:rsidRPr="000028B6">
        <w:rPr>
          <w:rFonts w:ascii="Times New Roman" w:hAnsi="Times New Roman" w:cs="Times New Roman"/>
          <w:noProof w:val="0"/>
          <w:sz w:val="24"/>
          <w:szCs w:val="24"/>
          <w:lang w:val="en-US"/>
        </w:rPr>
        <w:t>-8</w:t>
      </w:r>
      <w:r w:rsidRPr="000028B6">
        <w:rPr>
          <w:rFonts w:ascii="Times New Roman" w:hAnsi="Times New Roman" w:cs="Times New Roman"/>
          <w:noProof w:val="0"/>
          <w:sz w:val="24"/>
          <w:szCs w:val="24"/>
          <w:lang w:val="en-US"/>
        </w:rPr>
        <w:t xml:space="preserve"> mg </w:t>
      </w:r>
      <w:r w:rsidR="001E7BF4" w:rsidRPr="000028B6">
        <w:rPr>
          <w:rFonts w:ascii="Times New Roman" w:hAnsi="Times New Roman" w:cs="Times New Roman"/>
          <w:noProof w:val="0"/>
          <w:sz w:val="24"/>
          <w:szCs w:val="24"/>
          <w:lang w:val="en-US"/>
        </w:rPr>
        <w:t xml:space="preserve">of </w:t>
      </w:r>
      <w:r w:rsidRPr="000028B6">
        <w:rPr>
          <w:rFonts w:ascii="Times New Roman" w:hAnsi="Times New Roman" w:cs="Times New Roman"/>
          <w:noProof w:val="0"/>
          <w:sz w:val="24"/>
          <w:szCs w:val="24"/>
          <w:lang w:val="en-US"/>
        </w:rPr>
        <w:t xml:space="preserve">dexamethasone is </w:t>
      </w:r>
      <w:r w:rsidR="00FD2DBC" w:rsidRPr="000028B6">
        <w:rPr>
          <w:rFonts w:ascii="Times New Roman" w:hAnsi="Times New Roman" w:cs="Times New Roman"/>
          <w:noProof w:val="0"/>
          <w:sz w:val="24"/>
          <w:szCs w:val="24"/>
          <w:lang w:val="en-US"/>
        </w:rPr>
        <w:t>recommended</w:t>
      </w:r>
      <w:r w:rsidRPr="000028B6">
        <w:rPr>
          <w:rFonts w:ascii="Times New Roman" w:hAnsi="Times New Roman" w:cs="Times New Roman"/>
          <w:noProof w:val="0"/>
          <w:sz w:val="24"/>
          <w:szCs w:val="24"/>
          <w:lang w:val="en-US"/>
        </w:rPr>
        <w:t xml:space="preserve">, although higher doses of glucocorticoids are being studied. </w:t>
      </w:r>
      <w:r w:rsidR="000E421C" w:rsidRPr="000028B6">
        <w:rPr>
          <w:rFonts w:ascii="Times New Roman" w:hAnsi="Times New Roman" w:cs="Times New Roman"/>
          <w:noProof w:val="0"/>
          <w:sz w:val="24"/>
          <w:szCs w:val="24"/>
          <w:lang w:val="en-US"/>
        </w:rPr>
        <w:t xml:space="preserve">There are no indications for introduction or continuation of remdesivir therapy in intensive care unit patients. </w:t>
      </w:r>
      <w:r w:rsidRPr="000028B6">
        <w:rPr>
          <w:rFonts w:ascii="Times New Roman" w:hAnsi="Times New Roman" w:cs="Times New Roman"/>
          <w:noProof w:val="0"/>
          <w:sz w:val="24"/>
          <w:szCs w:val="24"/>
          <w:lang w:val="en-US"/>
        </w:rPr>
        <w:t xml:space="preserve">A lung-protective ventilation strategy should be applied – that means use of low tidal volumes, appropriate values of positive end-expiratory pressure (PEEP), </w:t>
      </w:r>
      <w:r w:rsidR="001E7BF4" w:rsidRPr="000028B6">
        <w:rPr>
          <w:rFonts w:ascii="Times New Roman" w:hAnsi="Times New Roman" w:cs="Times New Roman"/>
          <w:noProof w:val="0"/>
          <w:sz w:val="24"/>
          <w:szCs w:val="24"/>
          <w:lang w:val="en-US"/>
        </w:rPr>
        <w:t xml:space="preserve">adjustment </w:t>
      </w:r>
      <w:r w:rsidRPr="000028B6">
        <w:rPr>
          <w:rFonts w:ascii="Times New Roman" w:hAnsi="Times New Roman" w:cs="Times New Roman"/>
          <w:noProof w:val="0"/>
          <w:sz w:val="24"/>
          <w:szCs w:val="24"/>
          <w:lang w:val="en-US"/>
        </w:rPr>
        <w:t xml:space="preserve">of inspired oxygen fraction to </w:t>
      </w:r>
      <w:r w:rsidR="006956BD" w:rsidRPr="000028B6">
        <w:rPr>
          <w:rFonts w:ascii="Times New Roman" w:hAnsi="Times New Roman" w:cs="Times New Roman"/>
          <w:noProof w:val="0"/>
          <w:sz w:val="24"/>
          <w:szCs w:val="24"/>
          <w:lang w:val="en-US"/>
        </w:rPr>
        <w:t>partial pressure of oxygen in the blood (</w:t>
      </w:r>
      <w:r w:rsidRPr="000028B6">
        <w:rPr>
          <w:rFonts w:ascii="Times New Roman" w:hAnsi="Times New Roman" w:cs="Times New Roman"/>
          <w:noProof w:val="0"/>
          <w:sz w:val="24"/>
          <w:szCs w:val="24"/>
          <w:lang w:val="en-US"/>
        </w:rPr>
        <w:t>PaO</w:t>
      </w:r>
      <w:r w:rsidRPr="000028B6">
        <w:rPr>
          <w:rFonts w:ascii="Times New Roman" w:hAnsi="Times New Roman" w:cs="Times New Roman"/>
          <w:noProof w:val="0"/>
          <w:sz w:val="24"/>
          <w:szCs w:val="24"/>
          <w:vertAlign w:val="subscript"/>
          <w:lang w:val="en-US"/>
        </w:rPr>
        <w:t>2</w:t>
      </w:r>
      <w:r w:rsidR="006956B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and </w:t>
      </w:r>
      <w:r w:rsidR="006956BD" w:rsidRPr="000028B6">
        <w:rPr>
          <w:rFonts w:ascii="Times New Roman" w:hAnsi="Times New Roman" w:cs="Times New Roman"/>
          <w:noProof w:val="0"/>
          <w:sz w:val="24"/>
          <w:szCs w:val="24"/>
          <w:lang w:val="en-US"/>
        </w:rPr>
        <w:t>arterial oxygen saturation (</w:t>
      </w:r>
      <w:r w:rsidRPr="000028B6">
        <w:rPr>
          <w:rFonts w:ascii="Times New Roman" w:hAnsi="Times New Roman" w:cs="Times New Roman"/>
          <w:noProof w:val="0"/>
          <w:sz w:val="24"/>
          <w:szCs w:val="24"/>
          <w:lang w:val="en-US"/>
        </w:rPr>
        <w:t>S</w:t>
      </w:r>
      <w:r w:rsidR="00124A7F" w:rsidRPr="000028B6">
        <w:rPr>
          <w:rFonts w:ascii="Times New Roman" w:hAnsi="Times New Roman" w:cs="Times New Roman"/>
          <w:noProof w:val="0"/>
          <w:sz w:val="24"/>
          <w:szCs w:val="24"/>
          <w:lang w:val="en-US"/>
        </w:rPr>
        <w:t>a</w:t>
      </w:r>
      <w:r w:rsidRPr="000028B6">
        <w:rPr>
          <w:rFonts w:ascii="Times New Roman" w:hAnsi="Times New Roman" w:cs="Times New Roman"/>
          <w:noProof w:val="0"/>
          <w:sz w:val="24"/>
          <w:szCs w:val="24"/>
          <w:lang w:val="en-US"/>
        </w:rPr>
        <w:t>O</w:t>
      </w:r>
      <w:r w:rsidRPr="000028B6">
        <w:rPr>
          <w:rFonts w:ascii="Times New Roman" w:hAnsi="Times New Roman" w:cs="Times New Roman"/>
          <w:noProof w:val="0"/>
          <w:sz w:val="24"/>
          <w:szCs w:val="24"/>
          <w:vertAlign w:val="subscript"/>
          <w:lang w:val="en-US"/>
        </w:rPr>
        <w:t>2</w:t>
      </w:r>
      <w:r w:rsidR="006956B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values. The use of ventilation in the prone position provides good results in some patients unresponsive to conventional methods of respiratory therapy [</w:t>
      </w:r>
      <w:r w:rsidR="006F5A9B"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7</w:t>
      </w:r>
      <w:r w:rsidRPr="000028B6">
        <w:rPr>
          <w:rFonts w:ascii="Times New Roman" w:hAnsi="Times New Roman" w:cs="Times New Roman"/>
          <w:noProof w:val="0"/>
          <w:sz w:val="24"/>
          <w:szCs w:val="24"/>
          <w:lang w:val="en-US"/>
        </w:rPr>
        <w:t>]. Unfortunately, the mortality rate among COVID-19 patients requiring mechanical ventilation is as high as 67% [</w:t>
      </w:r>
      <w:r w:rsidR="006F5A9B"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8</w:t>
      </w:r>
      <w:r w:rsidRPr="000028B6">
        <w:rPr>
          <w:rFonts w:ascii="Times New Roman" w:hAnsi="Times New Roman" w:cs="Times New Roman"/>
          <w:noProof w:val="0"/>
          <w:sz w:val="24"/>
          <w:szCs w:val="24"/>
          <w:lang w:val="en-US"/>
        </w:rPr>
        <w:t>].</w:t>
      </w:r>
      <w:r w:rsidR="006956BD"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The use of veno-venous extracorporeal membrane oxygenation (VV ECMO) is indicated only in selected individuals</w:t>
      </w:r>
      <w:r w:rsidR="001E7BF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and its use is limited to expert </w:t>
      </w:r>
      <w:r w:rsidR="001E7BF4" w:rsidRPr="000028B6">
        <w:rPr>
          <w:rFonts w:ascii="Times New Roman" w:hAnsi="Times New Roman" w:cs="Times New Roman"/>
          <w:noProof w:val="0"/>
          <w:sz w:val="24"/>
          <w:szCs w:val="24"/>
          <w:lang w:val="en-US"/>
        </w:rPr>
        <w:t xml:space="preserve">centers </w:t>
      </w:r>
      <w:r w:rsidRPr="000028B6">
        <w:rPr>
          <w:rFonts w:ascii="Times New Roman" w:hAnsi="Times New Roman" w:cs="Times New Roman"/>
          <w:noProof w:val="0"/>
          <w:sz w:val="24"/>
          <w:szCs w:val="24"/>
          <w:lang w:val="en-US"/>
        </w:rPr>
        <w:t>with appropriate experience and technical capabilities. It may be beneficial in patients with ARDS (moderate or severe) diagnosed prior to introduction of mechanical ventilation, ventilated no longer than 7 days, with severe disturbances in lung gas exchange despite optimal conventional ventilation and failed attempts of oxygenation improving methods (e</w:t>
      </w:r>
      <w:r w:rsidR="001E7BF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g. prone position, neuromuscular blockade). It is also used as a bridging therapy to lung transplantation. There are also numerous contraindications </w:t>
      </w:r>
      <w:r w:rsidR="001E7BF4" w:rsidRPr="000028B6">
        <w:rPr>
          <w:rFonts w:ascii="Times New Roman" w:hAnsi="Times New Roman" w:cs="Times New Roman"/>
          <w:noProof w:val="0"/>
          <w:sz w:val="24"/>
          <w:szCs w:val="24"/>
          <w:lang w:val="en-US"/>
        </w:rPr>
        <w:t xml:space="preserve">to </w:t>
      </w:r>
      <w:r w:rsidRPr="000028B6">
        <w:rPr>
          <w:rFonts w:ascii="Times New Roman" w:hAnsi="Times New Roman" w:cs="Times New Roman"/>
          <w:noProof w:val="0"/>
          <w:sz w:val="24"/>
          <w:szCs w:val="24"/>
          <w:lang w:val="en-US"/>
        </w:rPr>
        <w:t>this therapy [</w:t>
      </w:r>
      <w:r w:rsidR="006F5A9B" w:rsidRPr="000028B6">
        <w:rPr>
          <w:rFonts w:ascii="Times New Roman" w:hAnsi="Times New Roman" w:cs="Times New Roman"/>
          <w:noProof w:val="0"/>
          <w:sz w:val="24"/>
          <w:szCs w:val="24"/>
          <w:lang w:val="en-US"/>
        </w:rPr>
        <w:t>4</w:t>
      </w:r>
      <w:r w:rsidR="000028B6" w:rsidRPr="000028B6">
        <w:rPr>
          <w:rFonts w:ascii="Times New Roman" w:hAnsi="Times New Roman" w:cs="Times New Roman"/>
          <w:noProof w:val="0"/>
          <w:sz w:val="24"/>
          <w:szCs w:val="24"/>
          <w:lang w:val="en-US"/>
        </w:rPr>
        <w:t>9</w:t>
      </w:r>
      <w:r w:rsidRPr="000028B6">
        <w:rPr>
          <w:rFonts w:ascii="Times New Roman" w:hAnsi="Times New Roman" w:cs="Times New Roman"/>
          <w:noProof w:val="0"/>
          <w:sz w:val="24"/>
          <w:szCs w:val="24"/>
          <w:lang w:val="en-US"/>
        </w:rPr>
        <w:t>].</w:t>
      </w:r>
    </w:p>
    <w:p w14:paraId="7050275D" w14:textId="160AC982" w:rsidR="00174A62" w:rsidRPr="000028B6" w:rsidRDefault="00174A62" w:rsidP="000028B6">
      <w:pPr>
        <w:spacing w:line="480" w:lineRule="auto"/>
        <w:rPr>
          <w:rFonts w:ascii="Times New Roman" w:hAnsi="Times New Roman" w:cs="Times New Roman"/>
          <w:b/>
          <w:noProof w:val="0"/>
          <w:sz w:val="24"/>
          <w:lang w:val="en-US"/>
        </w:rPr>
      </w:pPr>
      <w:r w:rsidRPr="000028B6">
        <w:rPr>
          <w:rFonts w:ascii="Times New Roman" w:hAnsi="Times New Roman" w:cs="Times New Roman"/>
          <w:b/>
          <w:noProof w:val="0"/>
          <w:sz w:val="24"/>
          <w:lang w:val="en-US"/>
        </w:rPr>
        <w:t>Treatments of unproven efficacy</w:t>
      </w:r>
    </w:p>
    <w:p w14:paraId="0695B700" w14:textId="20D4CFAC" w:rsidR="00CB02B3" w:rsidRPr="000028B6" w:rsidRDefault="00CB02B3"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A number of medications </w:t>
      </w:r>
      <w:r w:rsidR="006E26A3" w:rsidRPr="000028B6">
        <w:rPr>
          <w:rFonts w:ascii="Times New Roman" w:hAnsi="Times New Roman" w:cs="Times New Roman"/>
          <w:noProof w:val="0"/>
          <w:sz w:val="24"/>
          <w:lang w:val="en-US"/>
        </w:rPr>
        <w:t xml:space="preserve">have been </w:t>
      </w:r>
      <w:r w:rsidRPr="000028B6">
        <w:rPr>
          <w:rFonts w:ascii="Times New Roman" w:hAnsi="Times New Roman" w:cs="Times New Roman"/>
          <w:noProof w:val="0"/>
          <w:sz w:val="24"/>
          <w:lang w:val="en-US"/>
        </w:rPr>
        <w:t xml:space="preserve">considered </w:t>
      </w:r>
      <w:r w:rsidR="006E26A3" w:rsidRPr="000028B6">
        <w:rPr>
          <w:rFonts w:ascii="Times New Roman" w:hAnsi="Times New Roman" w:cs="Times New Roman"/>
          <w:noProof w:val="0"/>
          <w:sz w:val="24"/>
          <w:lang w:val="en-US"/>
        </w:rPr>
        <w:t>for</w:t>
      </w:r>
      <w:r w:rsidRPr="000028B6">
        <w:rPr>
          <w:rFonts w:ascii="Times New Roman" w:hAnsi="Times New Roman" w:cs="Times New Roman"/>
          <w:noProof w:val="0"/>
          <w:sz w:val="24"/>
          <w:lang w:val="en-US"/>
        </w:rPr>
        <w:t xml:space="preserve"> use in COVID-19 and a few as a prophylaxis</w:t>
      </w:r>
      <w:r w:rsidR="006E26A3"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w:t>
      </w:r>
      <w:r w:rsidR="006E26A3" w:rsidRPr="000028B6">
        <w:rPr>
          <w:rFonts w:ascii="Times New Roman" w:hAnsi="Times New Roman" w:cs="Times New Roman"/>
          <w:noProof w:val="0"/>
          <w:sz w:val="24"/>
          <w:lang w:val="en-US"/>
        </w:rPr>
        <w:t xml:space="preserve">but </w:t>
      </w:r>
      <w:r w:rsidRPr="000028B6">
        <w:rPr>
          <w:rFonts w:ascii="Times New Roman" w:hAnsi="Times New Roman" w:cs="Times New Roman"/>
          <w:noProof w:val="0"/>
          <w:sz w:val="24"/>
          <w:lang w:val="en-US"/>
        </w:rPr>
        <w:t xml:space="preserve">only a small proportion have been proved in clinical randomized </w:t>
      </w:r>
      <w:r w:rsidR="006E26A3" w:rsidRPr="000028B6">
        <w:rPr>
          <w:rFonts w:ascii="Times New Roman" w:hAnsi="Times New Roman" w:cs="Times New Roman"/>
          <w:noProof w:val="0"/>
          <w:sz w:val="24"/>
          <w:lang w:val="en-US"/>
        </w:rPr>
        <w:t xml:space="preserve">controlled </w:t>
      </w:r>
      <w:r w:rsidRPr="000028B6">
        <w:rPr>
          <w:rFonts w:ascii="Times New Roman" w:hAnsi="Times New Roman" w:cs="Times New Roman"/>
          <w:noProof w:val="0"/>
          <w:sz w:val="24"/>
          <w:lang w:val="en-US"/>
        </w:rPr>
        <w:t>trials (RCTs) and</w:t>
      </w:r>
      <w:r w:rsidR="006E26A3" w:rsidRPr="000028B6">
        <w:rPr>
          <w:rFonts w:ascii="Times New Roman" w:hAnsi="Times New Roman" w:cs="Times New Roman"/>
          <w:noProof w:val="0"/>
          <w:sz w:val="24"/>
          <w:lang w:val="en-US"/>
        </w:rPr>
        <w:t xml:space="preserve">/or </w:t>
      </w:r>
      <w:r w:rsidRPr="000028B6">
        <w:rPr>
          <w:rFonts w:ascii="Times New Roman" w:hAnsi="Times New Roman" w:cs="Times New Roman"/>
          <w:noProof w:val="0"/>
          <w:sz w:val="24"/>
          <w:lang w:val="en-US"/>
        </w:rPr>
        <w:t xml:space="preserve">in observational studies. </w:t>
      </w:r>
      <w:r w:rsidR="006E26A3" w:rsidRPr="000028B6">
        <w:rPr>
          <w:rFonts w:ascii="Times New Roman" w:hAnsi="Times New Roman" w:cs="Times New Roman"/>
          <w:noProof w:val="0"/>
          <w:sz w:val="24"/>
          <w:lang w:val="en-US"/>
        </w:rPr>
        <w:t xml:space="preserve">The following </w:t>
      </w:r>
      <w:r w:rsidRPr="000028B6">
        <w:rPr>
          <w:rFonts w:ascii="Times New Roman" w:hAnsi="Times New Roman" w:cs="Times New Roman"/>
          <w:noProof w:val="0"/>
          <w:sz w:val="24"/>
          <w:lang w:val="en-US"/>
        </w:rPr>
        <w:t xml:space="preserve">medications failed to </w:t>
      </w:r>
      <w:r w:rsidR="006E26A3" w:rsidRPr="000028B6">
        <w:rPr>
          <w:rFonts w:ascii="Times New Roman" w:hAnsi="Times New Roman" w:cs="Times New Roman"/>
          <w:noProof w:val="0"/>
          <w:sz w:val="24"/>
          <w:lang w:val="en-US"/>
        </w:rPr>
        <w:t xml:space="preserve">have </w:t>
      </w:r>
      <w:r w:rsidRPr="000028B6">
        <w:rPr>
          <w:rFonts w:ascii="Times New Roman" w:hAnsi="Times New Roman" w:cs="Times New Roman"/>
          <w:noProof w:val="0"/>
          <w:sz w:val="24"/>
          <w:lang w:val="en-US"/>
        </w:rPr>
        <w:t xml:space="preserve">their efficacy and safety </w:t>
      </w:r>
      <w:r w:rsidR="006E26A3" w:rsidRPr="000028B6">
        <w:rPr>
          <w:rFonts w:ascii="Times New Roman" w:hAnsi="Times New Roman" w:cs="Times New Roman"/>
          <w:noProof w:val="0"/>
          <w:sz w:val="24"/>
          <w:lang w:val="en-US"/>
        </w:rPr>
        <w:t xml:space="preserve">confirmed </w:t>
      </w:r>
      <w:r w:rsidRPr="000028B6">
        <w:rPr>
          <w:rFonts w:ascii="Times New Roman" w:hAnsi="Times New Roman" w:cs="Times New Roman"/>
          <w:noProof w:val="0"/>
          <w:sz w:val="24"/>
          <w:lang w:val="en-US"/>
        </w:rPr>
        <w:t>or trials are ongoing.</w:t>
      </w:r>
    </w:p>
    <w:p w14:paraId="389A2E8D" w14:textId="1FAB631F" w:rsidR="00CB02B3" w:rsidRPr="000028B6" w:rsidRDefault="008860A1" w:rsidP="000028B6">
      <w:pPr>
        <w:spacing w:line="480" w:lineRule="auto"/>
        <w:rPr>
          <w:rFonts w:ascii="Times New Roman" w:hAnsi="Times New Roman" w:cs="Times New Roman"/>
          <w:noProof w:val="0"/>
          <w:sz w:val="24"/>
          <w:u w:val="single"/>
          <w:lang w:val="en-US"/>
        </w:rPr>
      </w:pPr>
      <w:r w:rsidRPr="000028B6">
        <w:rPr>
          <w:rFonts w:ascii="Times New Roman" w:hAnsi="Times New Roman" w:cs="Times New Roman"/>
          <w:noProof w:val="0"/>
          <w:sz w:val="24"/>
          <w:u w:val="single"/>
          <w:lang w:val="en-US"/>
        </w:rPr>
        <w:t>A</w:t>
      </w:r>
      <w:r w:rsidR="00CB02B3" w:rsidRPr="000028B6">
        <w:rPr>
          <w:rFonts w:ascii="Times New Roman" w:hAnsi="Times New Roman" w:cs="Times New Roman"/>
          <w:noProof w:val="0"/>
          <w:sz w:val="24"/>
          <w:u w:val="single"/>
          <w:lang w:val="en-US"/>
        </w:rPr>
        <w:t xml:space="preserve">ntiviral </w:t>
      </w:r>
      <w:r w:rsidRPr="000028B6">
        <w:rPr>
          <w:rFonts w:ascii="Times New Roman" w:hAnsi="Times New Roman" w:cs="Times New Roman"/>
          <w:noProof w:val="0"/>
          <w:sz w:val="24"/>
          <w:u w:val="single"/>
          <w:lang w:val="en-US"/>
        </w:rPr>
        <w:t>medications</w:t>
      </w:r>
    </w:p>
    <w:p w14:paraId="0DF8AFDE" w14:textId="3F4206BE"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lastRenderedPageBreak/>
        <w:t xml:space="preserve">Favipiravir is a potent inhibitor of many RNA viruses. Preliminary study results may suggest </w:t>
      </w:r>
      <w:r w:rsidR="00355EE2" w:rsidRPr="000028B6">
        <w:rPr>
          <w:rFonts w:ascii="Times New Roman" w:hAnsi="Times New Roman" w:cs="Times New Roman"/>
          <w:noProof w:val="0"/>
          <w:sz w:val="24"/>
          <w:lang w:val="en-US"/>
        </w:rPr>
        <w:t xml:space="preserve">that </w:t>
      </w:r>
      <w:r w:rsidRPr="000028B6">
        <w:rPr>
          <w:rFonts w:ascii="Times New Roman" w:hAnsi="Times New Roman" w:cs="Times New Roman"/>
          <w:noProof w:val="0"/>
          <w:sz w:val="24"/>
          <w:lang w:val="en-US"/>
        </w:rPr>
        <w:t>the drug can shorten the time to recovery for patients with COVID-19, help achieve viral clearance early so as to positively impact disease transmission in the community</w:t>
      </w:r>
      <w:r w:rsidR="00355EE2"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and </w:t>
      </w:r>
      <w:r w:rsidR="00355EE2" w:rsidRPr="000028B6">
        <w:rPr>
          <w:rFonts w:ascii="Times New Roman" w:hAnsi="Times New Roman" w:cs="Times New Roman"/>
          <w:noProof w:val="0"/>
          <w:sz w:val="24"/>
          <w:lang w:val="en-US"/>
        </w:rPr>
        <w:t xml:space="preserve">reduce the </w:t>
      </w:r>
      <w:r w:rsidRPr="000028B6">
        <w:rPr>
          <w:rFonts w:ascii="Times New Roman" w:hAnsi="Times New Roman" w:cs="Times New Roman"/>
          <w:noProof w:val="0"/>
          <w:sz w:val="24"/>
          <w:lang w:val="en-US"/>
        </w:rPr>
        <w:t xml:space="preserve">health burden by shortening the length of stay at the hospital </w:t>
      </w:r>
      <w:r w:rsidR="007135BF" w:rsidRPr="000028B6">
        <w:rPr>
          <w:rFonts w:ascii="Times New Roman" w:hAnsi="Times New Roman" w:cs="Times New Roman"/>
          <w:noProof w:val="0"/>
          <w:sz w:val="24"/>
          <w:lang w:val="en-US"/>
        </w:rPr>
        <w:t>[</w:t>
      </w:r>
      <w:r w:rsidR="000028B6" w:rsidRPr="000028B6">
        <w:rPr>
          <w:rFonts w:ascii="Times New Roman" w:hAnsi="Times New Roman" w:cs="Times New Roman"/>
          <w:noProof w:val="0"/>
          <w:sz w:val="24"/>
          <w:lang w:val="en-US"/>
        </w:rPr>
        <w:t>50</w:t>
      </w:r>
      <w:r w:rsidR="007135BF"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Disadvantages include</w:t>
      </w:r>
      <w:r w:rsidR="00893151" w:rsidRPr="000028B6">
        <w:rPr>
          <w:rFonts w:ascii="Times New Roman" w:hAnsi="Times New Roman" w:cs="Times New Roman"/>
          <w:noProof w:val="0"/>
          <w:sz w:val="24"/>
          <w:lang w:val="en-US"/>
        </w:rPr>
        <w:t xml:space="preserve"> </w:t>
      </w:r>
      <w:r w:rsidRPr="000028B6">
        <w:rPr>
          <w:rFonts w:ascii="Times New Roman" w:hAnsi="Times New Roman" w:cs="Times New Roman"/>
          <w:noProof w:val="0"/>
          <w:sz w:val="24"/>
          <w:lang w:val="en-US"/>
        </w:rPr>
        <w:t xml:space="preserve">severe side effects, </w:t>
      </w:r>
      <w:r w:rsidR="00355EE2" w:rsidRPr="000028B6">
        <w:rPr>
          <w:rFonts w:ascii="Times New Roman" w:hAnsi="Times New Roman" w:cs="Times New Roman"/>
          <w:noProof w:val="0"/>
          <w:sz w:val="24"/>
          <w:lang w:val="en-US"/>
        </w:rPr>
        <w:t xml:space="preserve">such as </w:t>
      </w:r>
      <w:r w:rsidRPr="000028B6">
        <w:rPr>
          <w:rFonts w:ascii="Times New Roman" w:hAnsi="Times New Roman" w:cs="Times New Roman"/>
          <w:noProof w:val="0"/>
          <w:sz w:val="24"/>
          <w:lang w:val="en-US"/>
        </w:rPr>
        <w:t xml:space="preserve">anaphylactic shock and pneumonia. </w:t>
      </w:r>
    </w:p>
    <w:p w14:paraId="187F868E" w14:textId="00679B87"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Anti-influenza medications and non-specific antivirals. </w:t>
      </w:r>
      <w:r w:rsidR="00355EE2" w:rsidRPr="000028B6">
        <w:rPr>
          <w:rFonts w:ascii="Times New Roman" w:hAnsi="Times New Roman" w:cs="Times New Roman"/>
          <w:noProof w:val="0"/>
          <w:sz w:val="24"/>
          <w:lang w:val="en-US"/>
        </w:rPr>
        <w:t xml:space="preserve">A limited </w:t>
      </w:r>
      <w:r w:rsidRPr="000028B6">
        <w:rPr>
          <w:rFonts w:ascii="Times New Roman" w:hAnsi="Times New Roman" w:cs="Times New Roman"/>
          <w:noProof w:val="0"/>
          <w:sz w:val="24"/>
          <w:lang w:val="en-US"/>
        </w:rPr>
        <w:t xml:space="preserve">number of trials </w:t>
      </w:r>
      <w:r w:rsidR="00355EE2" w:rsidRPr="000028B6">
        <w:rPr>
          <w:rFonts w:ascii="Times New Roman" w:hAnsi="Times New Roman" w:cs="Times New Roman"/>
          <w:noProof w:val="0"/>
          <w:sz w:val="24"/>
          <w:lang w:val="en-US"/>
        </w:rPr>
        <w:t xml:space="preserve">have </w:t>
      </w:r>
      <w:r w:rsidRPr="000028B6">
        <w:rPr>
          <w:rFonts w:ascii="Times New Roman" w:hAnsi="Times New Roman" w:cs="Times New Roman"/>
          <w:noProof w:val="0"/>
          <w:sz w:val="24"/>
          <w:lang w:val="en-US"/>
        </w:rPr>
        <w:t xml:space="preserve">evaluated oseltamivir, amantadine, rimantadine, zanamivir, and acyclovir. No significant benefit for repurposed antivirals was observed and oseltamivir may increase mortality </w:t>
      </w:r>
      <w:r w:rsidR="00DB4EC6" w:rsidRPr="000028B6">
        <w:rPr>
          <w:rFonts w:ascii="Times New Roman" w:hAnsi="Times New Roman" w:cs="Times New Roman"/>
          <w:noProof w:val="0"/>
          <w:sz w:val="24"/>
          <w:lang w:val="en-US"/>
        </w:rPr>
        <w:t>[</w:t>
      </w:r>
      <w:r w:rsidR="001E3F53" w:rsidRPr="000028B6">
        <w:rPr>
          <w:rFonts w:ascii="Times New Roman" w:hAnsi="Times New Roman" w:cs="Times New Roman"/>
          <w:noProof w:val="0"/>
          <w:sz w:val="24"/>
          <w:lang w:val="en-US"/>
        </w:rPr>
        <w:t>5</w:t>
      </w:r>
      <w:r w:rsidR="000028B6" w:rsidRPr="000028B6">
        <w:rPr>
          <w:rFonts w:ascii="Times New Roman" w:hAnsi="Times New Roman" w:cs="Times New Roman"/>
          <w:noProof w:val="0"/>
          <w:sz w:val="24"/>
          <w:lang w:val="en-US"/>
        </w:rPr>
        <w:t>1</w:t>
      </w:r>
      <w:r w:rsidR="00DB4EC6" w:rsidRPr="000028B6">
        <w:rPr>
          <w:rFonts w:ascii="Times New Roman" w:hAnsi="Times New Roman" w:cs="Times New Roman"/>
          <w:noProof w:val="0"/>
          <w:sz w:val="24"/>
          <w:lang w:val="en-US"/>
        </w:rPr>
        <w:t>]</w:t>
      </w:r>
      <w:r w:rsidR="00355EE2" w:rsidRPr="000028B6">
        <w:rPr>
          <w:rFonts w:ascii="Times New Roman" w:hAnsi="Times New Roman" w:cs="Times New Roman"/>
          <w:noProof w:val="0"/>
          <w:sz w:val="24"/>
          <w:lang w:val="en-US"/>
        </w:rPr>
        <w:t>.</w:t>
      </w:r>
    </w:p>
    <w:p w14:paraId="6F59C42F" w14:textId="4D49E7F4"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Ivermectin. Some clinicians</w:t>
      </w:r>
      <w:r w:rsidR="00893151" w:rsidRPr="000028B6">
        <w:rPr>
          <w:rFonts w:ascii="Times New Roman" w:hAnsi="Times New Roman" w:cs="Times New Roman"/>
          <w:noProof w:val="0"/>
          <w:sz w:val="24"/>
          <w:lang w:val="en-US"/>
        </w:rPr>
        <w:t xml:space="preserve"> </w:t>
      </w:r>
      <w:r w:rsidRPr="000028B6">
        <w:rPr>
          <w:rFonts w:ascii="Times New Roman" w:hAnsi="Times New Roman" w:cs="Times New Roman"/>
          <w:noProof w:val="0"/>
          <w:sz w:val="24"/>
          <w:lang w:val="en-US"/>
        </w:rPr>
        <w:t xml:space="preserve">concluded that this anti-parasitic drug could significantly reduce viral load and accelerate recovery in patients with mild and moderate cases </w:t>
      </w:r>
      <w:r w:rsidR="00DB4EC6" w:rsidRPr="000028B6">
        <w:rPr>
          <w:rFonts w:ascii="Times New Roman" w:hAnsi="Times New Roman" w:cs="Times New Roman"/>
          <w:noProof w:val="0"/>
          <w:sz w:val="24"/>
          <w:lang w:val="en-US"/>
        </w:rPr>
        <w:t>[</w:t>
      </w:r>
      <w:r w:rsidR="001E3F53" w:rsidRPr="000028B6">
        <w:rPr>
          <w:rFonts w:ascii="Times New Roman" w:hAnsi="Times New Roman" w:cs="Times New Roman"/>
          <w:noProof w:val="0"/>
          <w:sz w:val="24"/>
          <w:lang w:val="en-US"/>
        </w:rPr>
        <w:t>5</w:t>
      </w:r>
      <w:r w:rsidR="000028B6" w:rsidRPr="000028B6">
        <w:rPr>
          <w:rFonts w:ascii="Times New Roman" w:hAnsi="Times New Roman" w:cs="Times New Roman"/>
          <w:noProof w:val="0"/>
          <w:sz w:val="24"/>
          <w:lang w:val="en-US"/>
        </w:rPr>
        <w:t>2</w:t>
      </w:r>
      <w:r w:rsidR="00DB4EC6"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The WHO and FDA advise against this anti-parasitic drug to treat COVID-19.</w:t>
      </w:r>
    </w:p>
    <w:p w14:paraId="61C82DAB" w14:textId="275A6855"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Anti-HIV medications have been found ineffective in SARS-CoV-2 infection, but a number of trials are ongoing.</w:t>
      </w:r>
    </w:p>
    <w:p w14:paraId="578CD6DB" w14:textId="5261423F"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Interferons. Subcutaneous injection of interferon β-1a showed no significant improvement in time to clinical response, but the overall mortality at 28 days was reduced. </w:t>
      </w:r>
    </w:p>
    <w:p w14:paraId="511B7250" w14:textId="78373BA8"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Intravenous immunoglobulin (IVIg) has been used as an adjuvant therapy or in a concentrated (hyperimmune) form. The potential utility of IVIg for the treatment of SARS-CoV-2 is unknown at this time.</w:t>
      </w:r>
    </w:p>
    <w:p w14:paraId="24FD5057" w14:textId="08E4D365"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Monoclonal anti-SARS-CoV-2 antibodies. </w:t>
      </w:r>
      <w:r w:rsidR="00C102D0" w:rsidRPr="000028B6">
        <w:rPr>
          <w:rFonts w:ascii="Times New Roman" w:hAnsi="Times New Roman" w:cs="Times New Roman"/>
          <w:noProof w:val="0"/>
          <w:sz w:val="24"/>
          <w:lang w:val="en-US"/>
        </w:rPr>
        <w:t xml:space="preserve">Bamlanivimab with etesevimab and the combination of casirivimab plus imdevimab are anti-severe acute respiratory syndrome coronavirus 2 (SARS-CoV-2) monoclonal </w:t>
      </w:r>
      <w:r w:rsidR="00C102D0" w:rsidRPr="000028B6">
        <w:rPr>
          <w:rFonts w:ascii="Times New Roman" w:hAnsi="Times New Roman" w:cs="Times New Roman"/>
          <w:noProof w:val="0"/>
          <w:color w:val="000000" w:themeColor="text1"/>
          <w:sz w:val="24"/>
          <w:lang w:val="en-US"/>
        </w:rPr>
        <w:t>antibodies [</w:t>
      </w:r>
      <w:r w:rsidR="001E3F53" w:rsidRPr="000028B6">
        <w:rPr>
          <w:rFonts w:ascii="Times New Roman" w:hAnsi="Times New Roman" w:cs="Times New Roman"/>
          <w:noProof w:val="0"/>
          <w:color w:val="000000" w:themeColor="text1"/>
          <w:sz w:val="24"/>
          <w:lang w:val="en-US"/>
        </w:rPr>
        <w:t>5</w:t>
      </w:r>
      <w:r w:rsidR="000028B6" w:rsidRPr="000028B6">
        <w:rPr>
          <w:rFonts w:ascii="Times New Roman" w:hAnsi="Times New Roman" w:cs="Times New Roman"/>
          <w:noProof w:val="0"/>
          <w:color w:val="000000" w:themeColor="text1"/>
          <w:sz w:val="24"/>
          <w:lang w:val="en-US"/>
        </w:rPr>
        <w:t>3</w:t>
      </w:r>
      <w:r w:rsidR="00C102D0" w:rsidRPr="000028B6">
        <w:rPr>
          <w:rFonts w:ascii="Times New Roman" w:hAnsi="Times New Roman" w:cs="Times New Roman"/>
          <w:noProof w:val="0"/>
          <w:color w:val="000000" w:themeColor="text1"/>
          <w:sz w:val="24"/>
          <w:lang w:val="en-US"/>
        </w:rPr>
        <w:t xml:space="preserve">, </w:t>
      </w:r>
      <w:r w:rsidR="001E3F53" w:rsidRPr="000028B6">
        <w:rPr>
          <w:rFonts w:ascii="Times New Roman" w:hAnsi="Times New Roman" w:cs="Times New Roman"/>
          <w:noProof w:val="0"/>
          <w:sz w:val="24"/>
          <w:lang w:val="en-US"/>
        </w:rPr>
        <w:t>5</w:t>
      </w:r>
      <w:r w:rsidR="000028B6" w:rsidRPr="000028B6">
        <w:rPr>
          <w:rFonts w:ascii="Times New Roman" w:hAnsi="Times New Roman" w:cs="Times New Roman"/>
          <w:noProof w:val="0"/>
          <w:sz w:val="24"/>
          <w:lang w:val="en-US"/>
        </w:rPr>
        <w:t>4</w:t>
      </w:r>
      <w:r w:rsidR="00C102D0" w:rsidRPr="000028B6">
        <w:rPr>
          <w:rFonts w:ascii="Times New Roman" w:hAnsi="Times New Roman" w:cs="Times New Roman"/>
          <w:noProof w:val="0"/>
          <w:sz w:val="24"/>
          <w:lang w:val="en-US"/>
        </w:rPr>
        <w:t xml:space="preserve">]. There are currently insufficient data to recommend either for or against their use. </w:t>
      </w:r>
    </w:p>
    <w:p w14:paraId="24FFD4F3" w14:textId="0D065B6E" w:rsidR="00CB02B3" w:rsidRPr="000028B6" w:rsidRDefault="00CB02B3" w:rsidP="000028B6">
      <w:pPr>
        <w:spacing w:line="480" w:lineRule="auto"/>
        <w:rPr>
          <w:rFonts w:ascii="Times New Roman" w:hAnsi="Times New Roman" w:cs="Times New Roman"/>
          <w:noProof w:val="0"/>
          <w:sz w:val="24"/>
          <w:u w:val="single"/>
          <w:lang w:val="en-US"/>
        </w:rPr>
      </w:pPr>
      <w:r w:rsidRPr="000028B6">
        <w:rPr>
          <w:rFonts w:ascii="Times New Roman" w:hAnsi="Times New Roman" w:cs="Times New Roman"/>
          <w:noProof w:val="0"/>
          <w:sz w:val="24"/>
          <w:u w:val="single"/>
          <w:lang w:val="en-US"/>
        </w:rPr>
        <w:t>Anti-inflammatory medication</w:t>
      </w:r>
    </w:p>
    <w:p w14:paraId="059942BA" w14:textId="6F2543A0" w:rsidR="00CB02B3"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lastRenderedPageBreak/>
        <w:t xml:space="preserve">Data about use of non-steroidal anti-inflammatory drugs (NSAIDs) </w:t>
      </w:r>
      <w:r w:rsidR="00772F52" w:rsidRPr="000028B6">
        <w:rPr>
          <w:rFonts w:ascii="Times New Roman" w:hAnsi="Times New Roman" w:cs="Times New Roman"/>
          <w:noProof w:val="0"/>
          <w:sz w:val="24"/>
          <w:lang w:val="en-US"/>
        </w:rPr>
        <w:t xml:space="preserve">are </w:t>
      </w:r>
      <w:r w:rsidRPr="000028B6">
        <w:rPr>
          <w:rFonts w:ascii="Times New Roman" w:hAnsi="Times New Roman" w:cs="Times New Roman"/>
          <w:noProof w:val="0"/>
          <w:sz w:val="24"/>
          <w:lang w:val="en-US"/>
        </w:rPr>
        <w:t xml:space="preserve">controversial. There are reports </w:t>
      </w:r>
      <w:r w:rsidR="00772F52" w:rsidRPr="000028B6">
        <w:rPr>
          <w:rFonts w:ascii="Times New Roman" w:hAnsi="Times New Roman" w:cs="Times New Roman"/>
          <w:noProof w:val="0"/>
          <w:sz w:val="24"/>
          <w:lang w:val="en-US"/>
        </w:rPr>
        <w:t xml:space="preserve">that </w:t>
      </w:r>
      <w:r w:rsidRPr="000028B6">
        <w:rPr>
          <w:rFonts w:ascii="Times New Roman" w:hAnsi="Times New Roman" w:cs="Times New Roman"/>
          <w:noProof w:val="0"/>
          <w:sz w:val="24"/>
          <w:lang w:val="en-US"/>
        </w:rPr>
        <w:t xml:space="preserve">ibuprofen blocks the diffuse inflammation produced by SARS CoV-2 </w:t>
      </w:r>
      <w:r w:rsidR="00772F52" w:rsidRPr="000028B6">
        <w:rPr>
          <w:rFonts w:ascii="Times New Roman" w:hAnsi="Times New Roman" w:cs="Times New Roman"/>
          <w:noProof w:val="0"/>
          <w:sz w:val="24"/>
          <w:lang w:val="en-US"/>
        </w:rPr>
        <w:t xml:space="preserve">and </w:t>
      </w:r>
      <w:r w:rsidRPr="000028B6">
        <w:rPr>
          <w:rFonts w:ascii="Times New Roman" w:hAnsi="Times New Roman" w:cs="Times New Roman"/>
          <w:noProof w:val="0"/>
          <w:sz w:val="24"/>
          <w:lang w:val="en-US"/>
        </w:rPr>
        <w:t xml:space="preserve">thus might prevent COVID-19 complications </w:t>
      </w:r>
      <w:r w:rsidR="00DB4EC6" w:rsidRPr="000028B6">
        <w:rPr>
          <w:rFonts w:ascii="Times New Roman" w:hAnsi="Times New Roman" w:cs="Times New Roman"/>
          <w:noProof w:val="0"/>
          <w:sz w:val="24"/>
          <w:lang w:val="en-US"/>
        </w:rPr>
        <w:t>[</w:t>
      </w:r>
      <w:r w:rsidR="004A6F10" w:rsidRPr="000028B6">
        <w:rPr>
          <w:rFonts w:ascii="Times New Roman" w:hAnsi="Times New Roman" w:cs="Times New Roman"/>
          <w:noProof w:val="0"/>
          <w:sz w:val="24"/>
          <w:lang w:val="en-US"/>
        </w:rPr>
        <w:t>5</w:t>
      </w:r>
      <w:r w:rsidR="000028B6" w:rsidRPr="000028B6">
        <w:rPr>
          <w:rFonts w:ascii="Times New Roman" w:hAnsi="Times New Roman" w:cs="Times New Roman"/>
          <w:noProof w:val="0"/>
          <w:sz w:val="24"/>
          <w:lang w:val="en-US"/>
        </w:rPr>
        <w:t>5</w:t>
      </w:r>
      <w:r w:rsidR="00DB4EC6"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However</w:t>
      </w:r>
      <w:r w:rsidR="00772F52"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NSAIDs do have fairly well-established side effects, so it is reasonable to use these medicines to treat the symptoms of mild COVID19, but to minimize the dose and duration of treatment where possible.</w:t>
      </w:r>
    </w:p>
    <w:p w14:paraId="79F31333" w14:textId="37294307" w:rsidR="00823B98" w:rsidRPr="000028B6" w:rsidRDefault="00CB02B3"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Anticytokine medications – apart from tocilizumab, a number of immune antagonists have been studied in clinical trials. So far there is no confirmation of their efficacy in COVID-19, including anakinra</w:t>
      </w:r>
      <w:r w:rsidR="00772F52" w:rsidRPr="000028B6">
        <w:rPr>
          <w:rFonts w:ascii="Times New Roman" w:hAnsi="Times New Roman" w:cs="Times New Roman"/>
          <w:noProof w:val="0"/>
          <w:sz w:val="24"/>
          <w:lang w:val="en-US"/>
        </w:rPr>
        <w:t>, which</w:t>
      </w:r>
      <w:r w:rsidRPr="000028B6">
        <w:rPr>
          <w:rFonts w:ascii="Times New Roman" w:hAnsi="Times New Roman" w:cs="Times New Roman"/>
          <w:noProof w:val="0"/>
          <w:sz w:val="24"/>
          <w:lang w:val="en-US"/>
        </w:rPr>
        <w:t xml:space="preserve"> failed to improve clinical outcomes in patients with mild-to-moderate COVID-19 </w:t>
      </w:r>
      <w:r w:rsidR="00DB4EC6" w:rsidRPr="000028B6">
        <w:rPr>
          <w:rFonts w:ascii="Times New Roman" w:hAnsi="Times New Roman" w:cs="Times New Roman"/>
          <w:noProof w:val="0"/>
          <w:sz w:val="24"/>
          <w:lang w:val="en-US"/>
        </w:rPr>
        <w:t>[</w:t>
      </w:r>
      <w:r w:rsidR="006F5A9B" w:rsidRPr="000028B6">
        <w:rPr>
          <w:rFonts w:ascii="Times New Roman" w:hAnsi="Times New Roman" w:cs="Times New Roman"/>
          <w:noProof w:val="0"/>
          <w:sz w:val="24"/>
          <w:lang w:val="en-US"/>
        </w:rPr>
        <w:t>5</w:t>
      </w:r>
      <w:r w:rsidR="000028B6" w:rsidRPr="000028B6">
        <w:rPr>
          <w:rFonts w:ascii="Times New Roman" w:hAnsi="Times New Roman" w:cs="Times New Roman"/>
          <w:noProof w:val="0"/>
          <w:sz w:val="24"/>
          <w:lang w:val="en-US"/>
        </w:rPr>
        <w:t>6</w:t>
      </w:r>
      <w:r w:rsidR="00DB4EC6"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w:t>
      </w:r>
    </w:p>
    <w:p w14:paraId="46246A86" w14:textId="2A0DFAFF" w:rsidR="00823B98" w:rsidRPr="000028B6" w:rsidRDefault="00823B98" w:rsidP="000028B6">
      <w:pPr>
        <w:pStyle w:val="Akapitzlist"/>
        <w:numPr>
          <w:ilvl w:val="0"/>
          <w:numId w:val="14"/>
        </w:num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Further studies are needed to assess the suitability of early inhaled budesonide administration [56]</w:t>
      </w:r>
    </w:p>
    <w:p w14:paraId="46008A4D" w14:textId="7507C52E" w:rsidR="00CB02B3" w:rsidRPr="000028B6" w:rsidRDefault="00CB02B3" w:rsidP="000028B6">
      <w:pPr>
        <w:spacing w:line="480" w:lineRule="auto"/>
        <w:rPr>
          <w:rFonts w:ascii="Times New Roman" w:hAnsi="Times New Roman" w:cs="Times New Roman"/>
          <w:noProof w:val="0"/>
          <w:sz w:val="24"/>
          <w:u w:val="single"/>
          <w:lang w:val="en-US"/>
        </w:rPr>
      </w:pPr>
      <w:r w:rsidRPr="000028B6">
        <w:rPr>
          <w:rFonts w:ascii="Times New Roman" w:hAnsi="Times New Roman" w:cs="Times New Roman"/>
          <w:noProof w:val="0"/>
          <w:sz w:val="24"/>
          <w:u w:val="single"/>
          <w:lang w:val="en-US"/>
        </w:rPr>
        <w:t xml:space="preserve">Unproven preventive </w:t>
      </w:r>
      <w:r w:rsidR="00772F52" w:rsidRPr="000028B6">
        <w:rPr>
          <w:rFonts w:ascii="Times New Roman" w:hAnsi="Times New Roman" w:cs="Times New Roman"/>
          <w:noProof w:val="0"/>
          <w:sz w:val="24"/>
          <w:u w:val="single"/>
          <w:lang w:val="en-US"/>
        </w:rPr>
        <w:t>–</w:t>
      </w:r>
      <w:r w:rsidRPr="000028B6">
        <w:rPr>
          <w:rFonts w:ascii="Times New Roman" w:hAnsi="Times New Roman" w:cs="Times New Roman"/>
          <w:noProof w:val="0"/>
          <w:sz w:val="24"/>
          <w:u w:val="single"/>
          <w:lang w:val="en-US"/>
        </w:rPr>
        <w:t xml:space="preserve"> Mouthwash and nasal spray</w:t>
      </w:r>
    </w:p>
    <w:p w14:paraId="62DAEF83" w14:textId="7DA4718F" w:rsidR="00CB02B3" w:rsidRPr="000028B6" w:rsidRDefault="00CB02B3"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Some recommend gargling with certain mouthwashes to kill viruses in the throat and temporarily reduce the risk of shedding viruses. Antiviral nasal sprays work by coating viral particles within the nose to block </w:t>
      </w:r>
      <w:r w:rsidR="00772F52" w:rsidRPr="000028B6">
        <w:rPr>
          <w:rFonts w:ascii="Times New Roman" w:hAnsi="Times New Roman" w:cs="Times New Roman"/>
          <w:noProof w:val="0"/>
          <w:sz w:val="24"/>
          <w:lang w:val="en-US"/>
        </w:rPr>
        <w:t xml:space="preserve">their </w:t>
      </w:r>
      <w:r w:rsidRPr="000028B6">
        <w:rPr>
          <w:rFonts w:ascii="Times New Roman" w:hAnsi="Times New Roman" w:cs="Times New Roman"/>
          <w:noProof w:val="0"/>
          <w:sz w:val="24"/>
          <w:lang w:val="en-US"/>
        </w:rPr>
        <w:t xml:space="preserve">entrance into cells within the body. There are no clinical studies proving </w:t>
      </w:r>
      <w:r w:rsidR="00772F52" w:rsidRPr="000028B6">
        <w:rPr>
          <w:rFonts w:ascii="Times New Roman" w:hAnsi="Times New Roman" w:cs="Times New Roman"/>
          <w:noProof w:val="0"/>
          <w:sz w:val="24"/>
          <w:lang w:val="en-US"/>
        </w:rPr>
        <w:t xml:space="preserve">that </w:t>
      </w:r>
      <w:r w:rsidRPr="000028B6">
        <w:rPr>
          <w:rFonts w:ascii="Times New Roman" w:hAnsi="Times New Roman" w:cs="Times New Roman"/>
          <w:noProof w:val="0"/>
          <w:sz w:val="24"/>
          <w:lang w:val="en-US"/>
        </w:rPr>
        <w:t>it</w:t>
      </w:r>
      <w:r w:rsidR="00893151" w:rsidRPr="000028B6">
        <w:rPr>
          <w:rFonts w:ascii="Times New Roman" w:hAnsi="Times New Roman" w:cs="Times New Roman"/>
          <w:noProof w:val="0"/>
          <w:sz w:val="24"/>
          <w:lang w:val="en-US"/>
        </w:rPr>
        <w:t xml:space="preserve"> </w:t>
      </w:r>
      <w:r w:rsidRPr="000028B6">
        <w:rPr>
          <w:rFonts w:ascii="Times New Roman" w:hAnsi="Times New Roman" w:cs="Times New Roman"/>
          <w:noProof w:val="0"/>
          <w:sz w:val="24"/>
          <w:lang w:val="en-US"/>
        </w:rPr>
        <w:t>is effective in preventing human-to-human transmission.</w:t>
      </w:r>
    </w:p>
    <w:p w14:paraId="32AA4451" w14:textId="6A84ECB1" w:rsidR="00DE1707" w:rsidRPr="000028B6" w:rsidRDefault="009A698C" w:rsidP="000028B6">
      <w:pPr>
        <w:spacing w:line="480" w:lineRule="auto"/>
        <w:rPr>
          <w:rFonts w:ascii="Times New Roman" w:hAnsi="Times New Roman" w:cs="Times New Roman"/>
          <w:b/>
          <w:noProof w:val="0"/>
          <w:sz w:val="24"/>
          <w:szCs w:val="24"/>
          <w:lang w:val="en-US"/>
        </w:rPr>
      </w:pPr>
      <w:r w:rsidRPr="000028B6">
        <w:rPr>
          <w:rFonts w:ascii="Times New Roman" w:hAnsi="Times New Roman" w:cs="Times New Roman"/>
          <w:b/>
          <w:noProof w:val="0"/>
          <w:sz w:val="24"/>
          <w:szCs w:val="24"/>
          <w:lang w:val="en-US"/>
        </w:rPr>
        <w:t>Late sequelae of COVID-19</w:t>
      </w:r>
    </w:p>
    <w:p w14:paraId="4277CED0" w14:textId="3C38B1E3" w:rsidR="00DB6128" w:rsidRPr="000028B6" w:rsidRDefault="00DB6128"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Post-acute </w:t>
      </w:r>
      <w:r w:rsidR="00772F52" w:rsidRPr="000028B6">
        <w:rPr>
          <w:rFonts w:ascii="Times New Roman" w:hAnsi="Times New Roman" w:cs="Times New Roman"/>
          <w:noProof w:val="0"/>
          <w:sz w:val="24"/>
          <w:lang w:val="en-US"/>
        </w:rPr>
        <w:t>COVID</w:t>
      </w:r>
      <w:r w:rsidRPr="000028B6">
        <w:rPr>
          <w:rFonts w:ascii="Times New Roman" w:hAnsi="Times New Roman" w:cs="Times New Roman"/>
          <w:noProof w:val="0"/>
          <w:sz w:val="24"/>
          <w:lang w:val="en-US"/>
        </w:rPr>
        <w:t xml:space="preserve">-19 syndrome (PC19, long COVID) refers to persistence of symptoms or organ dysfunctions following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acute phase of COVID-19. Although the incidence, clinical picture and therapeutic recommendation are yet to be established</w:t>
      </w:r>
      <w:r w:rsidR="00772F52"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PC19 refers to abnormalities beyond 4 weeks after onset </w:t>
      </w:r>
      <w:r w:rsidR="00772F52" w:rsidRPr="000028B6">
        <w:rPr>
          <w:rFonts w:ascii="Times New Roman" w:hAnsi="Times New Roman" w:cs="Times New Roman"/>
          <w:noProof w:val="0"/>
          <w:sz w:val="24"/>
          <w:lang w:val="en-US"/>
        </w:rPr>
        <w:t xml:space="preserve">of </w:t>
      </w:r>
      <w:r w:rsidRPr="000028B6">
        <w:rPr>
          <w:rFonts w:ascii="Times New Roman" w:hAnsi="Times New Roman" w:cs="Times New Roman"/>
          <w:noProof w:val="0"/>
          <w:sz w:val="24"/>
          <w:lang w:val="en-US"/>
        </w:rPr>
        <w:t>COVID-19 [</w:t>
      </w:r>
      <w:r w:rsidR="006F5A9B" w:rsidRPr="000028B6">
        <w:rPr>
          <w:rFonts w:ascii="Times New Roman" w:hAnsi="Times New Roman" w:cs="Times New Roman"/>
          <w:noProof w:val="0"/>
          <w:sz w:val="24"/>
          <w:lang w:val="en-US"/>
        </w:rPr>
        <w:t>5</w:t>
      </w:r>
      <w:r w:rsidR="00823B98" w:rsidRPr="000028B6">
        <w:rPr>
          <w:rFonts w:ascii="Times New Roman" w:hAnsi="Times New Roman" w:cs="Times New Roman"/>
          <w:noProof w:val="0"/>
          <w:sz w:val="24"/>
          <w:lang w:val="en-US"/>
        </w:rPr>
        <w:t>7</w:t>
      </w:r>
      <w:r w:rsidRPr="000028B6">
        <w:rPr>
          <w:rFonts w:ascii="Times New Roman" w:hAnsi="Times New Roman" w:cs="Times New Roman"/>
          <w:noProof w:val="0"/>
          <w:sz w:val="24"/>
          <w:lang w:val="en-US"/>
        </w:rPr>
        <w:t xml:space="preserve">, </w:t>
      </w:r>
      <w:r w:rsidR="006F5A9B" w:rsidRPr="000028B6">
        <w:rPr>
          <w:rFonts w:ascii="Times New Roman" w:hAnsi="Times New Roman" w:cs="Times New Roman"/>
          <w:noProof w:val="0"/>
          <w:sz w:val="24"/>
          <w:lang w:val="en-US"/>
        </w:rPr>
        <w:t>5</w:t>
      </w:r>
      <w:r w:rsidR="00823B98" w:rsidRPr="000028B6">
        <w:rPr>
          <w:rFonts w:ascii="Times New Roman" w:hAnsi="Times New Roman" w:cs="Times New Roman"/>
          <w:noProof w:val="0"/>
          <w:sz w:val="24"/>
          <w:lang w:val="en-US"/>
        </w:rPr>
        <w:t>8</w:t>
      </w:r>
      <w:r w:rsidRPr="000028B6">
        <w:rPr>
          <w:rFonts w:ascii="Times New Roman" w:hAnsi="Times New Roman" w:cs="Times New Roman"/>
          <w:noProof w:val="0"/>
          <w:sz w:val="24"/>
          <w:lang w:val="en-US"/>
        </w:rPr>
        <w:t xml:space="preserve">]. It </w:t>
      </w:r>
      <w:r w:rsidR="00772F52" w:rsidRPr="000028B6">
        <w:rPr>
          <w:rFonts w:ascii="Times New Roman" w:hAnsi="Times New Roman" w:cs="Times New Roman"/>
          <w:noProof w:val="0"/>
          <w:sz w:val="24"/>
          <w:lang w:val="en-US"/>
        </w:rPr>
        <w:t xml:space="preserve">can </w:t>
      </w:r>
      <w:r w:rsidRPr="000028B6">
        <w:rPr>
          <w:rFonts w:ascii="Times New Roman" w:hAnsi="Times New Roman" w:cs="Times New Roman"/>
          <w:noProof w:val="0"/>
          <w:sz w:val="24"/>
          <w:lang w:val="en-US"/>
        </w:rPr>
        <w:t>be div</w:t>
      </w:r>
      <w:r w:rsidR="0032477E" w:rsidRPr="000028B6">
        <w:rPr>
          <w:rFonts w:ascii="Times New Roman" w:hAnsi="Times New Roman" w:cs="Times New Roman"/>
          <w:noProof w:val="0"/>
          <w:sz w:val="24"/>
          <w:lang w:val="en-US"/>
        </w:rPr>
        <w:t>id</w:t>
      </w:r>
      <w:r w:rsidRPr="000028B6">
        <w:rPr>
          <w:rFonts w:ascii="Times New Roman" w:hAnsi="Times New Roman" w:cs="Times New Roman"/>
          <w:noProof w:val="0"/>
          <w:sz w:val="24"/>
          <w:lang w:val="en-US"/>
        </w:rPr>
        <w:t xml:space="preserve">ed </w:t>
      </w:r>
      <w:r w:rsidR="00772F52" w:rsidRPr="000028B6">
        <w:rPr>
          <w:rFonts w:ascii="Times New Roman" w:hAnsi="Times New Roman" w:cs="Times New Roman"/>
          <w:noProof w:val="0"/>
          <w:sz w:val="24"/>
          <w:lang w:val="en-US"/>
        </w:rPr>
        <w:t xml:space="preserve">into </w:t>
      </w:r>
      <w:r w:rsidRPr="000028B6">
        <w:rPr>
          <w:rFonts w:ascii="Times New Roman" w:hAnsi="Times New Roman" w:cs="Times New Roman"/>
          <w:noProof w:val="0"/>
          <w:sz w:val="24"/>
          <w:lang w:val="en-US"/>
        </w:rPr>
        <w:t xml:space="preserve">subacute </w:t>
      </w:r>
      <w:r w:rsidR="00772F52" w:rsidRPr="000028B6">
        <w:rPr>
          <w:rFonts w:ascii="Times New Roman" w:hAnsi="Times New Roman" w:cs="Times New Roman"/>
          <w:noProof w:val="0"/>
          <w:sz w:val="24"/>
          <w:lang w:val="en-US"/>
        </w:rPr>
        <w:t xml:space="preserve">within </w:t>
      </w:r>
      <w:r w:rsidRPr="000028B6">
        <w:rPr>
          <w:rFonts w:ascii="Times New Roman" w:hAnsi="Times New Roman" w:cs="Times New Roman"/>
          <w:noProof w:val="0"/>
          <w:sz w:val="24"/>
          <w:lang w:val="en-US"/>
        </w:rPr>
        <w:t>4-12 w</w:t>
      </w:r>
      <w:r w:rsidR="00893151" w:rsidRPr="000028B6">
        <w:rPr>
          <w:rFonts w:ascii="Times New Roman" w:hAnsi="Times New Roman" w:cs="Times New Roman"/>
          <w:noProof w:val="0"/>
          <w:sz w:val="24"/>
          <w:lang w:val="en-US"/>
        </w:rPr>
        <w:t>ee</w:t>
      </w:r>
      <w:r w:rsidRPr="000028B6">
        <w:rPr>
          <w:rFonts w:ascii="Times New Roman" w:hAnsi="Times New Roman" w:cs="Times New Roman"/>
          <w:noProof w:val="0"/>
          <w:sz w:val="24"/>
          <w:lang w:val="en-US"/>
        </w:rPr>
        <w:t>ks and chronic beyond 12 w</w:t>
      </w:r>
      <w:r w:rsidR="00772F52" w:rsidRPr="000028B6">
        <w:rPr>
          <w:rFonts w:ascii="Times New Roman" w:hAnsi="Times New Roman" w:cs="Times New Roman"/>
          <w:noProof w:val="0"/>
          <w:sz w:val="24"/>
          <w:lang w:val="en-US"/>
        </w:rPr>
        <w:t>ee</w:t>
      </w:r>
      <w:r w:rsidRPr="000028B6">
        <w:rPr>
          <w:rFonts w:ascii="Times New Roman" w:hAnsi="Times New Roman" w:cs="Times New Roman"/>
          <w:noProof w:val="0"/>
          <w:sz w:val="24"/>
          <w:lang w:val="en-US"/>
        </w:rPr>
        <w:t>ks. The prevalence of PC19 varies between 30</w:t>
      </w:r>
      <w:r w:rsidR="00772F52" w:rsidRPr="000028B6">
        <w:rPr>
          <w:rFonts w:ascii="Times New Roman" w:hAnsi="Times New Roman" w:cs="Times New Roman"/>
          <w:noProof w:val="0"/>
          <w:sz w:val="24"/>
          <w:lang w:val="en-US"/>
        </w:rPr>
        <w:t xml:space="preserve">% and </w:t>
      </w:r>
      <w:r w:rsidRPr="000028B6">
        <w:rPr>
          <w:rFonts w:ascii="Times New Roman" w:hAnsi="Times New Roman" w:cs="Times New Roman"/>
          <w:noProof w:val="0"/>
          <w:sz w:val="24"/>
          <w:lang w:val="en-US"/>
        </w:rPr>
        <w:t xml:space="preserve">80% and depends on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 xml:space="preserve">methodology of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study [</w:t>
      </w:r>
      <w:r w:rsidR="006F5A9B" w:rsidRPr="000028B6">
        <w:rPr>
          <w:rFonts w:ascii="Times New Roman" w:hAnsi="Times New Roman" w:cs="Times New Roman"/>
          <w:noProof w:val="0"/>
          <w:sz w:val="24"/>
          <w:lang w:val="en-US"/>
        </w:rPr>
        <w:t>5</w:t>
      </w:r>
      <w:r w:rsidR="00823B98" w:rsidRPr="000028B6">
        <w:rPr>
          <w:rFonts w:ascii="Times New Roman" w:hAnsi="Times New Roman" w:cs="Times New Roman"/>
          <w:noProof w:val="0"/>
          <w:sz w:val="24"/>
          <w:lang w:val="en-US"/>
        </w:rPr>
        <w:t>9</w:t>
      </w:r>
      <w:r w:rsidRPr="000028B6">
        <w:rPr>
          <w:rFonts w:ascii="Times New Roman" w:hAnsi="Times New Roman" w:cs="Times New Roman"/>
          <w:noProof w:val="0"/>
          <w:sz w:val="24"/>
          <w:lang w:val="en-US"/>
        </w:rPr>
        <w:t xml:space="preserve">]. The most prevalent </w:t>
      </w:r>
      <w:r w:rsidRPr="000028B6">
        <w:rPr>
          <w:rFonts w:ascii="Times New Roman" w:hAnsi="Times New Roman" w:cs="Times New Roman"/>
          <w:noProof w:val="0"/>
          <w:sz w:val="24"/>
          <w:lang w:val="en-US"/>
        </w:rPr>
        <w:lastRenderedPageBreak/>
        <w:t xml:space="preserve">complications are pulmonary (dyspnea, hypoxia, reduced diffusion capacity, persistent inflammatory lesions and/or fibrosis in </w:t>
      </w:r>
      <w:r w:rsidR="005E68E5" w:rsidRPr="000028B6">
        <w:rPr>
          <w:rFonts w:ascii="Times New Roman" w:hAnsi="Times New Roman" w:cs="Times New Roman"/>
          <w:noProof w:val="0"/>
          <w:sz w:val="24"/>
          <w:lang w:val="en-US"/>
        </w:rPr>
        <w:t>computed tomography (CT)</w:t>
      </w:r>
      <w:r w:rsidRPr="000028B6">
        <w:rPr>
          <w:rFonts w:ascii="Times New Roman" w:hAnsi="Times New Roman" w:cs="Times New Roman"/>
          <w:noProof w:val="0"/>
          <w:sz w:val="24"/>
          <w:lang w:val="en-US"/>
        </w:rPr>
        <w:t>); hematologic (thromboembolic events, anemia); cardiovascular (palpitations,</w:t>
      </w:r>
      <w:r w:rsidR="00893151" w:rsidRPr="000028B6">
        <w:rPr>
          <w:rFonts w:ascii="Times New Roman" w:hAnsi="Times New Roman" w:cs="Times New Roman"/>
          <w:noProof w:val="0"/>
          <w:sz w:val="24"/>
          <w:lang w:val="en-US"/>
        </w:rPr>
        <w:t xml:space="preserve"> </w:t>
      </w:r>
      <w:r w:rsidRPr="000028B6">
        <w:rPr>
          <w:rFonts w:ascii="Times New Roman" w:hAnsi="Times New Roman" w:cs="Times New Roman"/>
          <w:noProof w:val="0"/>
          <w:sz w:val="24"/>
          <w:lang w:val="en-US"/>
        </w:rPr>
        <w:t xml:space="preserve">dyspnea, chest pain, arrhythmias, myocardial fibrosis/scarring); neuropsychiatric (chronic fatigue, myalgia, headache, olfactory/gustatory dysfunctions, anxiety, depression, sleep disturbances and </w:t>
      </w:r>
      <w:r w:rsidR="005E68E5" w:rsidRPr="000028B6">
        <w:rPr>
          <w:rFonts w:ascii="Times New Roman" w:hAnsi="Times New Roman" w:cs="Times New Roman"/>
          <w:noProof w:val="0"/>
          <w:sz w:val="24"/>
          <w:lang w:val="en-US"/>
        </w:rPr>
        <w:t>posttraumatic stress disorder</w:t>
      </w:r>
      <w:r w:rsidRPr="000028B6">
        <w:rPr>
          <w:rFonts w:ascii="Times New Roman" w:hAnsi="Times New Roman" w:cs="Times New Roman"/>
          <w:noProof w:val="0"/>
          <w:sz w:val="24"/>
          <w:lang w:val="en-US"/>
        </w:rPr>
        <w:t xml:space="preserve">). Multiple laboratory abnormalities including reduced eGFR, increased liver function tests, </w:t>
      </w:r>
      <w:r w:rsidR="00772F52" w:rsidRPr="000028B6">
        <w:rPr>
          <w:rFonts w:ascii="Times New Roman" w:hAnsi="Times New Roman" w:cs="Times New Roman"/>
          <w:noProof w:val="0"/>
          <w:sz w:val="24"/>
          <w:lang w:val="en-US"/>
        </w:rPr>
        <w:t xml:space="preserve">and </w:t>
      </w:r>
      <w:r w:rsidRPr="000028B6">
        <w:rPr>
          <w:rFonts w:ascii="Times New Roman" w:hAnsi="Times New Roman" w:cs="Times New Roman"/>
          <w:noProof w:val="0"/>
          <w:sz w:val="24"/>
          <w:lang w:val="en-US"/>
        </w:rPr>
        <w:t xml:space="preserve">hyperglycemia were reported 3-6 months following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acute phase of COViD-19 [</w:t>
      </w:r>
      <w:r w:rsidR="006F5A9B" w:rsidRPr="000028B6">
        <w:rPr>
          <w:rFonts w:ascii="Times New Roman" w:hAnsi="Times New Roman" w:cs="Times New Roman"/>
          <w:noProof w:val="0"/>
          <w:sz w:val="24"/>
          <w:lang w:val="en-US"/>
        </w:rPr>
        <w:t>5</w:t>
      </w:r>
      <w:r w:rsidR="00823B98" w:rsidRPr="000028B6">
        <w:rPr>
          <w:rFonts w:ascii="Times New Roman" w:hAnsi="Times New Roman" w:cs="Times New Roman"/>
          <w:noProof w:val="0"/>
          <w:sz w:val="24"/>
          <w:lang w:val="en-US"/>
        </w:rPr>
        <w:t>9</w:t>
      </w:r>
      <w:r w:rsidRPr="000028B6">
        <w:rPr>
          <w:rFonts w:ascii="Times New Roman" w:hAnsi="Times New Roman" w:cs="Times New Roman"/>
          <w:noProof w:val="0"/>
          <w:sz w:val="24"/>
          <w:lang w:val="en-US"/>
        </w:rPr>
        <w:t>]. Pediatric inflammatory multisystem syndrome (PIMS/MIS-C) is a separate post-COVID-19 condition in children and young adults with specific diagnostic criteria [</w:t>
      </w:r>
      <w:r w:rsidR="00823B98" w:rsidRPr="000028B6">
        <w:rPr>
          <w:rFonts w:ascii="Times New Roman" w:hAnsi="Times New Roman" w:cs="Times New Roman"/>
          <w:noProof w:val="0"/>
          <w:sz w:val="24"/>
          <w:lang w:val="en-US"/>
        </w:rPr>
        <w:t>60</w:t>
      </w:r>
      <w:r w:rsidRPr="000028B6">
        <w:rPr>
          <w:rFonts w:ascii="Times New Roman" w:hAnsi="Times New Roman" w:cs="Times New Roman"/>
          <w:noProof w:val="0"/>
          <w:sz w:val="24"/>
          <w:lang w:val="en-US"/>
        </w:rPr>
        <w:t>].</w:t>
      </w:r>
    </w:p>
    <w:p w14:paraId="0945DAF5" w14:textId="20DBD12D" w:rsidR="00DB6128" w:rsidRPr="000028B6" w:rsidRDefault="00DB6128"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Preliminary results of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Polish prospective study SILCOV-19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 xml:space="preserve">Silesian Complications of COVID-19 Database) show that after </w:t>
      </w:r>
      <w:r w:rsidR="00772F52" w:rsidRPr="000028B6">
        <w:rPr>
          <w:rFonts w:ascii="Times New Roman" w:hAnsi="Times New Roman" w:cs="Times New Roman"/>
          <w:noProof w:val="0"/>
          <w:sz w:val="24"/>
          <w:lang w:val="en-US"/>
        </w:rPr>
        <w:t xml:space="preserve">a </w:t>
      </w:r>
      <w:r w:rsidRPr="000028B6">
        <w:rPr>
          <w:rFonts w:ascii="Times New Roman" w:hAnsi="Times New Roman" w:cs="Times New Roman"/>
          <w:noProof w:val="0"/>
          <w:sz w:val="24"/>
          <w:lang w:val="en-US"/>
        </w:rPr>
        <w:t xml:space="preserve">median </w:t>
      </w:r>
      <w:r w:rsidR="00772F52" w:rsidRPr="000028B6">
        <w:rPr>
          <w:rFonts w:ascii="Times New Roman" w:hAnsi="Times New Roman" w:cs="Times New Roman"/>
          <w:noProof w:val="0"/>
          <w:sz w:val="24"/>
          <w:lang w:val="en-US"/>
        </w:rPr>
        <w:t xml:space="preserve">of </w:t>
      </w:r>
      <w:r w:rsidRPr="000028B6">
        <w:rPr>
          <w:rFonts w:ascii="Times New Roman" w:hAnsi="Times New Roman" w:cs="Times New Roman"/>
          <w:noProof w:val="0"/>
          <w:sz w:val="24"/>
          <w:lang w:val="en-US"/>
        </w:rPr>
        <w:t xml:space="preserve">90 days of COVID-19 onset the most prevalent </w:t>
      </w:r>
      <w:r w:rsidR="00772F52" w:rsidRPr="000028B6">
        <w:rPr>
          <w:rFonts w:ascii="Times New Roman" w:hAnsi="Times New Roman" w:cs="Times New Roman"/>
          <w:noProof w:val="0"/>
          <w:sz w:val="24"/>
          <w:lang w:val="en-US"/>
        </w:rPr>
        <w:t xml:space="preserve">symptoms </w:t>
      </w:r>
      <w:r w:rsidRPr="000028B6">
        <w:rPr>
          <w:rFonts w:ascii="Times New Roman" w:hAnsi="Times New Roman" w:cs="Times New Roman"/>
          <w:noProof w:val="0"/>
          <w:sz w:val="24"/>
          <w:lang w:val="en-US"/>
        </w:rPr>
        <w:t xml:space="preserve">are: fatigue (~50%), reduced lung diffusion capacity (~30%), ongoing inflammatory lesions in HRCT (35% </w:t>
      </w:r>
      <w:r w:rsidR="00772F52" w:rsidRPr="000028B6">
        <w:rPr>
          <w:rFonts w:ascii="Times New Roman" w:hAnsi="Times New Roman" w:cs="Times New Roman"/>
          <w:noProof w:val="0"/>
          <w:sz w:val="24"/>
          <w:lang w:val="en-US"/>
        </w:rPr>
        <w:t xml:space="preserve">of </w:t>
      </w:r>
      <w:r w:rsidRPr="000028B6">
        <w:rPr>
          <w:rFonts w:ascii="Times New Roman" w:hAnsi="Times New Roman" w:cs="Times New Roman"/>
          <w:noProof w:val="0"/>
          <w:sz w:val="24"/>
          <w:lang w:val="en-US"/>
        </w:rPr>
        <w:t xml:space="preserve">hospitalized, 10% </w:t>
      </w:r>
      <w:r w:rsidR="00772F52" w:rsidRPr="000028B6">
        <w:rPr>
          <w:rFonts w:ascii="Times New Roman" w:hAnsi="Times New Roman" w:cs="Times New Roman"/>
          <w:noProof w:val="0"/>
          <w:sz w:val="24"/>
          <w:lang w:val="en-US"/>
        </w:rPr>
        <w:t>of non</w:t>
      </w:r>
      <w:r w:rsidRPr="000028B6">
        <w:rPr>
          <w:rFonts w:ascii="Times New Roman" w:hAnsi="Times New Roman" w:cs="Times New Roman"/>
          <w:noProof w:val="0"/>
          <w:sz w:val="24"/>
          <w:lang w:val="en-US"/>
        </w:rPr>
        <w:t>-hospitalized</w:t>
      </w:r>
      <w:r w:rsidR="00772F52" w:rsidRPr="000028B6">
        <w:rPr>
          <w:rFonts w:ascii="Times New Roman" w:hAnsi="Times New Roman" w:cs="Times New Roman"/>
          <w:noProof w:val="0"/>
          <w:sz w:val="24"/>
          <w:lang w:val="en-US"/>
        </w:rPr>
        <w:t xml:space="preserve"> patients</w:t>
      </w:r>
      <w:r w:rsidRPr="000028B6">
        <w:rPr>
          <w:rFonts w:ascii="Times New Roman" w:hAnsi="Times New Roman" w:cs="Times New Roman"/>
          <w:noProof w:val="0"/>
          <w:sz w:val="24"/>
          <w:lang w:val="en-US"/>
        </w:rPr>
        <w:t xml:space="preserve">), anxiety (18-24%), sleep disturbances (19-34%), depression (5-15%) and </w:t>
      </w:r>
      <w:r w:rsidR="00893151" w:rsidRPr="000028B6">
        <w:rPr>
          <w:rFonts w:ascii="Times New Roman" w:hAnsi="Times New Roman" w:cs="Times New Roman"/>
          <w:noProof w:val="0"/>
          <w:sz w:val="24"/>
          <w:lang w:val="en-US"/>
        </w:rPr>
        <w:t>bradyarrhythmias</w:t>
      </w:r>
      <w:r w:rsidRPr="000028B6">
        <w:rPr>
          <w:rFonts w:ascii="Times New Roman" w:hAnsi="Times New Roman" w:cs="Times New Roman"/>
          <w:noProof w:val="0"/>
          <w:sz w:val="24"/>
          <w:lang w:val="en-US"/>
        </w:rPr>
        <w:t xml:space="preserve"> (13-16%). </w:t>
      </w:r>
      <w:r w:rsidR="00772F52" w:rsidRPr="000028B6">
        <w:rPr>
          <w:rFonts w:ascii="Times New Roman" w:hAnsi="Times New Roman" w:cs="Times New Roman"/>
          <w:noProof w:val="0"/>
          <w:sz w:val="24"/>
          <w:lang w:val="en-US"/>
        </w:rPr>
        <w:t xml:space="preserve">The most </w:t>
      </w:r>
      <w:r w:rsidRPr="000028B6">
        <w:rPr>
          <w:rFonts w:ascii="Times New Roman" w:hAnsi="Times New Roman" w:cs="Times New Roman"/>
          <w:noProof w:val="0"/>
          <w:sz w:val="24"/>
          <w:lang w:val="en-US"/>
        </w:rPr>
        <w:t xml:space="preserve">prevalent laboratory abnormalities are anemia (48%) and neutropenia (28%), NT-proBNP&gt;125 pg/mL (26% hospitalized, 9% </w:t>
      </w:r>
      <w:r w:rsidR="00772F52" w:rsidRPr="000028B6">
        <w:rPr>
          <w:rFonts w:ascii="Times New Roman" w:hAnsi="Times New Roman" w:cs="Times New Roman"/>
          <w:noProof w:val="0"/>
          <w:sz w:val="24"/>
          <w:lang w:val="en-US"/>
        </w:rPr>
        <w:t>non</w:t>
      </w:r>
      <w:r w:rsidRPr="000028B6">
        <w:rPr>
          <w:rFonts w:ascii="Times New Roman" w:hAnsi="Times New Roman" w:cs="Times New Roman"/>
          <w:noProof w:val="0"/>
          <w:sz w:val="24"/>
          <w:lang w:val="en-US"/>
        </w:rPr>
        <w:t xml:space="preserve">-hospitalized), increased D-dimers (20% hospitalized, 9% </w:t>
      </w:r>
      <w:r w:rsidR="00772F52" w:rsidRPr="000028B6">
        <w:rPr>
          <w:rFonts w:ascii="Times New Roman" w:hAnsi="Times New Roman" w:cs="Times New Roman"/>
          <w:noProof w:val="0"/>
          <w:sz w:val="24"/>
          <w:lang w:val="en-US"/>
        </w:rPr>
        <w:t>non</w:t>
      </w:r>
      <w:r w:rsidRPr="000028B6">
        <w:rPr>
          <w:rFonts w:ascii="Times New Roman" w:hAnsi="Times New Roman" w:cs="Times New Roman"/>
          <w:noProof w:val="0"/>
          <w:sz w:val="24"/>
          <w:lang w:val="en-US"/>
        </w:rPr>
        <w:t xml:space="preserve">-hospitalized), </w:t>
      </w:r>
      <w:r w:rsidR="00772F52" w:rsidRPr="000028B6">
        <w:rPr>
          <w:rFonts w:ascii="Times New Roman" w:hAnsi="Times New Roman" w:cs="Times New Roman"/>
          <w:noProof w:val="0"/>
          <w:sz w:val="24"/>
          <w:lang w:val="en-US"/>
        </w:rPr>
        <w:t xml:space="preserve">and </w:t>
      </w:r>
      <w:r w:rsidRPr="000028B6">
        <w:rPr>
          <w:rFonts w:ascii="Times New Roman" w:hAnsi="Times New Roman" w:cs="Times New Roman"/>
          <w:noProof w:val="0"/>
          <w:sz w:val="24"/>
          <w:lang w:val="en-US"/>
        </w:rPr>
        <w:t>hyperbilirubinemia (~10%). [</w:t>
      </w:r>
      <w:r w:rsidR="001E3F53" w:rsidRPr="000028B6">
        <w:rPr>
          <w:rFonts w:ascii="Times New Roman" w:hAnsi="Times New Roman" w:cs="Times New Roman"/>
          <w:noProof w:val="0"/>
          <w:sz w:val="24"/>
          <w:lang w:val="en-US"/>
        </w:rPr>
        <w:t>6</w:t>
      </w:r>
      <w:r w:rsidR="00823B98" w:rsidRPr="000028B6">
        <w:rPr>
          <w:rFonts w:ascii="Times New Roman" w:hAnsi="Times New Roman" w:cs="Times New Roman"/>
          <w:noProof w:val="0"/>
          <w:sz w:val="24"/>
          <w:lang w:val="en-US"/>
        </w:rPr>
        <w:t>1</w:t>
      </w:r>
      <w:r w:rsidRPr="000028B6">
        <w:rPr>
          <w:rFonts w:ascii="Times New Roman" w:hAnsi="Times New Roman" w:cs="Times New Roman"/>
          <w:noProof w:val="0"/>
          <w:sz w:val="24"/>
          <w:lang w:val="en-US"/>
        </w:rPr>
        <w:t>]</w:t>
      </w:r>
    </w:p>
    <w:p w14:paraId="57ED90DD" w14:textId="347D40AC" w:rsidR="00DB6128" w:rsidRPr="000028B6" w:rsidRDefault="00DB6128"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Clinical guidelines for PC19 lack strong </w:t>
      </w:r>
      <w:r w:rsidR="00893151" w:rsidRPr="000028B6">
        <w:rPr>
          <w:rFonts w:ascii="Times New Roman" w:hAnsi="Times New Roman" w:cs="Times New Roman"/>
          <w:noProof w:val="0"/>
          <w:sz w:val="24"/>
          <w:lang w:val="en-US"/>
        </w:rPr>
        <w:t xml:space="preserve">evidence </w:t>
      </w:r>
      <w:r w:rsidRPr="000028B6">
        <w:rPr>
          <w:rFonts w:ascii="Times New Roman" w:hAnsi="Times New Roman" w:cs="Times New Roman"/>
          <w:noProof w:val="0"/>
          <w:sz w:val="24"/>
          <w:lang w:val="en-US"/>
        </w:rPr>
        <w:t xml:space="preserve">and over 40 prospective trials are underway. There is no evidence for routine screening in asymptomatic subjects. Symptom assessment should be performed 4-6 weeks and 12 weeks after discharge in patients with moderate to severe </w:t>
      </w:r>
      <w:r w:rsidR="00772F52" w:rsidRPr="000028B6">
        <w:rPr>
          <w:rFonts w:ascii="Times New Roman" w:hAnsi="Times New Roman" w:cs="Times New Roman"/>
          <w:noProof w:val="0"/>
          <w:sz w:val="24"/>
          <w:lang w:val="en-US"/>
        </w:rPr>
        <w:t>COVID</w:t>
      </w:r>
      <w:r w:rsidRPr="000028B6">
        <w:rPr>
          <w:rFonts w:ascii="Times New Roman" w:hAnsi="Times New Roman" w:cs="Times New Roman"/>
          <w:noProof w:val="0"/>
          <w:sz w:val="24"/>
          <w:lang w:val="en-US"/>
        </w:rPr>
        <w:t xml:space="preserve">-19. Diagnostics should be symptom oriented. The objective methods for pulmonary evaluations are </w:t>
      </w:r>
      <w:r w:rsidR="00772F52" w:rsidRPr="000028B6">
        <w:rPr>
          <w:rFonts w:ascii="Times New Roman" w:hAnsi="Times New Roman" w:cs="Times New Roman"/>
          <w:noProof w:val="0"/>
          <w:sz w:val="24"/>
          <w:lang w:val="en-US"/>
        </w:rPr>
        <w:t xml:space="preserve">the </w:t>
      </w:r>
      <w:r w:rsidRPr="000028B6">
        <w:rPr>
          <w:rFonts w:ascii="Times New Roman" w:hAnsi="Times New Roman" w:cs="Times New Roman"/>
          <w:noProof w:val="0"/>
          <w:sz w:val="24"/>
          <w:lang w:val="en-US"/>
        </w:rPr>
        <w:t>Borg Dyspnoea Scale, home pulse oximetry, 6-minute walk test (6MWT), chest X-ray, pulmonary function tests and</w:t>
      </w:r>
      <w:r w:rsidR="00772F52"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if recommended by </w:t>
      </w:r>
      <w:r w:rsidR="00772F52" w:rsidRPr="000028B6">
        <w:rPr>
          <w:rFonts w:ascii="Times New Roman" w:hAnsi="Times New Roman" w:cs="Times New Roman"/>
          <w:noProof w:val="0"/>
          <w:sz w:val="24"/>
          <w:lang w:val="en-US"/>
        </w:rPr>
        <w:t xml:space="preserve">a </w:t>
      </w:r>
      <w:r w:rsidRPr="000028B6">
        <w:rPr>
          <w:rFonts w:ascii="Times New Roman" w:hAnsi="Times New Roman" w:cs="Times New Roman"/>
          <w:noProof w:val="0"/>
          <w:sz w:val="24"/>
          <w:lang w:val="en-US"/>
        </w:rPr>
        <w:t>specialist</w:t>
      </w:r>
      <w:r w:rsidR="00772F52"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chest CT/HRCT (usually not earlier that 3 months </w:t>
      </w:r>
      <w:r w:rsidR="00772F52" w:rsidRPr="000028B6">
        <w:rPr>
          <w:rFonts w:ascii="Times New Roman" w:hAnsi="Times New Roman" w:cs="Times New Roman"/>
          <w:noProof w:val="0"/>
          <w:sz w:val="24"/>
          <w:lang w:val="en-US"/>
        </w:rPr>
        <w:t xml:space="preserve">after </w:t>
      </w:r>
      <w:r w:rsidRPr="000028B6">
        <w:rPr>
          <w:rFonts w:ascii="Times New Roman" w:hAnsi="Times New Roman" w:cs="Times New Roman"/>
          <w:noProof w:val="0"/>
          <w:sz w:val="24"/>
          <w:lang w:val="en-US"/>
        </w:rPr>
        <w:t xml:space="preserve">COVID-19). For cardiac </w:t>
      </w:r>
      <w:r w:rsidRPr="000028B6">
        <w:rPr>
          <w:rFonts w:ascii="Times New Roman" w:hAnsi="Times New Roman" w:cs="Times New Roman"/>
          <w:noProof w:val="0"/>
          <w:sz w:val="24"/>
          <w:lang w:val="en-US"/>
        </w:rPr>
        <w:lastRenderedPageBreak/>
        <w:t xml:space="preserve">symptoms: 24-hour Holter monitoring and echocardiogram, in selected cases cardiac MRI or CT coronary angiogram. Some authors recommend routine screening for anxiety, depression and sleep disorders. The need for laboratory testing depends on abnormalities during hospitalization. It is important to follow patients with acute kidney or liver injury, </w:t>
      </w:r>
      <w:r w:rsidR="00052215" w:rsidRPr="000028B6">
        <w:rPr>
          <w:rFonts w:ascii="Times New Roman" w:hAnsi="Times New Roman" w:cs="Times New Roman"/>
          <w:noProof w:val="0"/>
          <w:sz w:val="24"/>
          <w:lang w:val="en-US"/>
        </w:rPr>
        <w:t xml:space="preserve">a </w:t>
      </w:r>
      <w:r w:rsidRPr="000028B6">
        <w:rPr>
          <w:rFonts w:ascii="Times New Roman" w:hAnsi="Times New Roman" w:cs="Times New Roman"/>
          <w:noProof w:val="0"/>
          <w:sz w:val="24"/>
          <w:lang w:val="en-US"/>
        </w:rPr>
        <w:t xml:space="preserve">thromboembolic event, chronic cardiovascular, pulmonary, liver, </w:t>
      </w:r>
      <w:r w:rsidR="00052215" w:rsidRPr="000028B6">
        <w:rPr>
          <w:rFonts w:ascii="Times New Roman" w:hAnsi="Times New Roman" w:cs="Times New Roman"/>
          <w:noProof w:val="0"/>
          <w:sz w:val="24"/>
          <w:lang w:val="en-US"/>
        </w:rPr>
        <w:t xml:space="preserve">or </w:t>
      </w:r>
      <w:r w:rsidRPr="000028B6">
        <w:rPr>
          <w:rFonts w:ascii="Times New Roman" w:hAnsi="Times New Roman" w:cs="Times New Roman"/>
          <w:noProof w:val="0"/>
          <w:sz w:val="24"/>
          <w:lang w:val="en-US"/>
        </w:rPr>
        <w:t xml:space="preserve">metabolic disorders. Currently, there is no recommendation for routine screening for coagulation following COVID-19. </w:t>
      </w:r>
    </w:p>
    <w:p w14:paraId="4FDB6066" w14:textId="5B4ADAC7" w:rsidR="00DB6128" w:rsidRPr="000028B6" w:rsidRDefault="00DB6128"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In the post-COVID19 convalescence</w:t>
      </w:r>
      <w:r w:rsidR="007E5A67" w:rsidRPr="000028B6">
        <w:rPr>
          <w:rFonts w:ascii="Times New Roman" w:hAnsi="Times New Roman" w:cs="Times New Roman"/>
          <w:noProof w:val="0"/>
          <w:sz w:val="24"/>
          <w:lang w:val="en-US"/>
        </w:rPr>
        <w:t>,</w:t>
      </w:r>
      <w:r w:rsidRPr="000028B6">
        <w:rPr>
          <w:rFonts w:ascii="Times New Roman" w:hAnsi="Times New Roman" w:cs="Times New Roman"/>
          <w:noProof w:val="0"/>
          <w:sz w:val="24"/>
          <w:lang w:val="en-US"/>
        </w:rPr>
        <w:t xml:space="preserve"> rest, relaxation and pulmonary rehabilitation with breathing techniques</w:t>
      </w:r>
      <w:r w:rsidR="007E5A67" w:rsidRPr="000028B6">
        <w:rPr>
          <w:rFonts w:ascii="Times New Roman" w:hAnsi="Times New Roman" w:cs="Times New Roman"/>
          <w:noProof w:val="0"/>
          <w:sz w:val="24"/>
          <w:lang w:val="en-US"/>
        </w:rPr>
        <w:t xml:space="preserve"> play an </w:t>
      </w:r>
      <w:r w:rsidR="007E5A67" w:rsidRPr="000028B6">
        <w:rPr>
          <w:rFonts w:ascii="Times New Roman" w:hAnsi="Times New Roman" w:cs="Times New Roman"/>
          <w:noProof w:val="0"/>
          <w:color w:val="000000" w:themeColor="text1"/>
          <w:sz w:val="24"/>
          <w:lang w:val="en-US"/>
        </w:rPr>
        <w:t>important role</w:t>
      </w:r>
      <w:r w:rsidRPr="000028B6">
        <w:rPr>
          <w:rFonts w:ascii="Times New Roman" w:hAnsi="Times New Roman" w:cs="Times New Roman"/>
          <w:noProof w:val="0"/>
          <w:color w:val="000000" w:themeColor="text1"/>
          <w:sz w:val="24"/>
          <w:lang w:val="en-US"/>
        </w:rPr>
        <w:t xml:space="preserve">. </w:t>
      </w:r>
      <w:r w:rsidR="00A54C25" w:rsidRPr="000028B6">
        <w:rPr>
          <w:rFonts w:ascii="Times New Roman" w:hAnsi="Times New Roman" w:cs="Times New Roman"/>
          <w:noProof w:val="0"/>
          <w:color w:val="000000" w:themeColor="text1"/>
          <w:sz w:val="24"/>
          <w:lang w:val="en-US"/>
        </w:rPr>
        <w:t>There is no evidence for routine thromboprophylaxis although high-risk patients may require prophylactic anticoagulation for up to 30 days after discharge (Table 2)</w:t>
      </w:r>
      <w:r w:rsidR="004B503E" w:rsidRPr="000028B6">
        <w:rPr>
          <w:rFonts w:ascii="Times New Roman" w:hAnsi="Times New Roman" w:cs="Times New Roman"/>
          <w:noProof w:val="0"/>
          <w:color w:val="000000" w:themeColor="text1"/>
          <w:sz w:val="24"/>
          <w:lang w:val="en-US"/>
        </w:rPr>
        <w:t xml:space="preserve"> [</w:t>
      </w:r>
      <w:r w:rsidR="001E3F53" w:rsidRPr="000028B6">
        <w:rPr>
          <w:rFonts w:ascii="Times New Roman" w:hAnsi="Times New Roman" w:cs="Times New Roman"/>
          <w:noProof w:val="0"/>
          <w:color w:val="000000" w:themeColor="text1"/>
          <w:sz w:val="24"/>
          <w:lang w:val="en-US"/>
        </w:rPr>
        <w:t>6</w:t>
      </w:r>
      <w:r w:rsidR="00823B98" w:rsidRPr="000028B6">
        <w:rPr>
          <w:rFonts w:ascii="Times New Roman" w:hAnsi="Times New Roman" w:cs="Times New Roman"/>
          <w:noProof w:val="0"/>
          <w:color w:val="000000" w:themeColor="text1"/>
          <w:sz w:val="24"/>
          <w:lang w:val="en-US"/>
        </w:rPr>
        <w:t>2</w:t>
      </w:r>
      <w:r w:rsidR="004B503E" w:rsidRPr="000028B6">
        <w:rPr>
          <w:rFonts w:ascii="Times New Roman" w:hAnsi="Times New Roman" w:cs="Times New Roman"/>
          <w:noProof w:val="0"/>
          <w:color w:val="000000" w:themeColor="text1"/>
          <w:sz w:val="24"/>
          <w:lang w:val="en-US"/>
        </w:rPr>
        <w:t>]</w:t>
      </w:r>
      <w:r w:rsidR="00A54C25" w:rsidRPr="000028B6">
        <w:rPr>
          <w:rFonts w:ascii="Times New Roman" w:hAnsi="Times New Roman" w:cs="Times New Roman"/>
          <w:noProof w:val="0"/>
          <w:color w:val="000000" w:themeColor="text1"/>
          <w:sz w:val="24"/>
          <w:lang w:val="en-US"/>
        </w:rPr>
        <w:t xml:space="preserve">. </w:t>
      </w:r>
      <w:r w:rsidRPr="000028B6">
        <w:rPr>
          <w:rFonts w:ascii="Times New Roman" w:hAnsi="Times New Roman" w:cs="Times New Roman"/>
          <w:noProof w:val="0"/>
          <w:color w:val="000000" w:themeColor="text1"/>
          <w:sz w:val="24"/>
          <w:lang w:val="en-US"/>
        </w:rPr>
        <w:t xml:space="preserve">Direct oral anticoagulants and </w:t>
      </w:r>
      <w:r w:rsidR="002C6A3F" w:rsidRPr="000028B6">
        <w:rPr>
          <w:rFonts w:ascii="Times New Roman" w:hAnsi="Times New Roman" w:cs="Times New Roman"/>
          <w:noProof w:val="0"/>
          <w:color w:val="000000" w:themeColor="text1"/>
          <w:sz w:val="24"/>
          <w:lang w:val="en-US"/>
        </w:rPr>
        <w:t>low-molecu</w:t>
      </w:r>
      <w:r w:rsidR="00592E2F" w:rsidRPr="000028B6">
        <w:rPr>
          <w:rFonts w:ascii="Times New Roman" w:hAnsi="Times New Roman" w:cs="Times New Roman"/>
          <w:noProof w:val="0"/>
          <w:color w:val="000000" w:themeColor="text1"/>
          <w:sz w:val="24"/>
          <w:lang w:val="en-US"/>
        </w:rPr>
        <w:t>lar</w:t>
      </w:r>
      <w:r w:rsidR="002C6A3F" w:rsidRPr="000028B6">
        <w:rPr>
          <w:rFonts w:ascii="Times New Roman" w:hAnsi="Times New Roman" w:cs="Times New Roman"/>
          <w:noProof w:val="0"/>
          <w:color w:val="000000" w:themeColor="text1"/>
          <w:sz w:val="24"/>
          <w:lang w:val="en-US"/>
        </w:rPr>
        <w:t xml:space="preserve">-weight </w:t>
      </w:r>
      <w:r w:rsidRPr="000028B6">
        <w:rPr>
          <w:rFonts w:ascii="Times New Roman" w:hAnsi="Times New Roman" w:cs="Times New Roman"/>
          <w:noProof w:val="0"/>
          <w:color w:val="000000" w:themeColor="text1"/>
          <w:sz w:val="24"/>
          <w:lang w:val="en-US"/>
        </w:rPr>
        <w:t>heparins are preferred over vitamin K antagonists</w:t>
      </w:r>
      <w:r w:rsidRPr="000028B6">
        <w:rPr>
          <w:rFonts w:ascii="Times New Roman" w:hAnsi="Times New Roman" w:cs="Times New Roman"/>
          <w:noProof w:val="0"/>
          <w:sz w:val="24"/>
          <w:lang w:val="en-US"/>
        </w:rPr>
        <w:t xml:space="preserve">. The role of antiplatelet agents has not been established. The therapy of </w:t>
      </w:r>
      <w:r w:rsidR="007E5A67" w:rsidRPr="000028B6">
        <w:rPr>
          <w:rFonts w:ascii="Times New Roman" w:hAnsi="Times New Roman" w:cs="Times New Roman"/>
          <w:noProof w:val="0"/>
          <w:sz w:val="24"/>
          <w:lang w:val="en-US"/>
        </w:rPr>
        <w:t xml:space="preserve">sequelae </w:t>
      </w:r>
      <w:r w:rsidRPr="000028B6">
        <w:rPr>
          <w:rFonts w:ascii="Times New Roman" w:hAnsi="Times New Roman" w:cs="Times New Roman"/>
          <w:noProof w:val="0"/>
          <w:sz w:val="24"/>
          <w:lang w:val="en-US"/>
        </w:rPr>
        <w:t xml:space="preserve">should be based on general recommendations. It is underlined that prompt initiation of anxiolytic and antidepressants improves prognosis. The benefits of corticosteroids or antifibrotic agents </w:t>
      </w:r>
      <w:r w:rsidR="007E5A67" w:rsidRPr="000028B6">
        <w:rPr>
          <w:rFonts w:ascii="Times New Roman" w:hAnsi="Times New Roman" w:cs="Times New Roman"/>
          <w:noProof w:val="0"/>
          <w:sz w:val="24"/>
          <w:lang w:val="en-US"/>
        </w:rPr>
        <w:t xml:space="preserve">in </w:t>
      </w:r>
      <w:r w:rsidRPr="000028B6">
        <w:rPr>
          <w:rFonts w:ascii="Times New Roman" w:hAnsi="Times New Roman" w:cs="Times New Roman"/>
          <w:noProof w:val="0"/>
          <w:sz w:val="24"/>
          <w:lang w:val="en-US"/>
        </w:rPr>
        <w:t xml:space="preserve">post-COVID inflammatory lung disease in not confirmed. It is advisable to </w:t>
      </w:r>
      <w:r w:rsidR="007E5A67" w:rsidRPr="000028B6">
        <w:rPr>
          <w:rFonts w:ascii="Times New Roman" w:hAnsi="Times New Roman" w:cs="Times New Roman"/>
          <w:noProof w:val="0"/>
          <w:sz w:val="24"/>
          <w:lang w:val="en-US"/>
        </w:rPr>
        <w:t xml:space="preserve">include </w:t>
      </w:r>
      <w:r w:rsidRPr="000028B6">
        <w:rPr>
          <w:rFonts w:ascii="Times New Roman" w:hAnsi="Times New Roman" w:cs="Times New Roman"/>
          <w:noProof w:val="0"/>
          <w:sz w:val="24"/>
          <w:lang w:val="en-US"/>
        </w:rPr>
        <w:t xml:space="preserve">subjects after moderate-severe COVID-19 </w:t>
      </w:r>
      <w:r w:rsidR="007E5A67" w:rsidRPr="000028B6">
        <w:rPr>
          <w:rFonts w:ascii="Times New Roman" w:hAnsi="Times New Roman" w:cs="Times New Roman"/>
          <w:noProof w:val="0"/>
          <w:sz w:val="24"/>
          <w:lang w:val="en-US"/>
        </w:rPr>
        <w:t xml:space="preserve">in </w:t>
      </w:r>
      <w:r w:rsidRPr="000028B6">
        <w:rPr>
          <w:rFonts w:ascii="Times New Roman" w:hAnsi="Times New Roman" w:cs="Times New Roman"/>
          <w:noProof w:val="0"/>
          <w:sz w:val="24"/>
          <w:lang w:val="en-US"/>
        </w:rPr>
        <w:t xml:space="preserve">prospective studies evaluating PC19. </w:t>
      </w:r>
    </w:p>
    <w:p w14:paraId="3FD54661" w14:textId="644259B4" w:rsidR="00DC215A" w:rsidRPr="000028B6" w:rsidRDefault="009A698C"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Vaccination</w:t>
      </w:r>
    </w:p>
    <w:p w14:paraId="5181D20E" w14:textId="7BF8E96C" w:rsidR="00603AD1" w:rsidRPr="000028B6" w:rsidRDefault="00603AD1" w:rsidP="000028B6">
      <w:p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The Emergency Use Authorizations of the first COVID-19 vaccine was issued by the European Medicines Agency (EMA) in December 2020</w:t>
      </w:r>
      <w:r w:rsidR="00317199" w:rsidRPr="000028B6">
        <w:rPr>
          <w:rFonts w:ascii="Times New Roman" w:hAnsi="Times New Roman" w:cs="Times New Roman"/>
          <w:noProof w:val="0"/>
          <w:sz w:val="24"/>
          <w:szCs w:val="24"/>
          <w:lang w:val="en-US"/>
        </w:rPr>
        <w:t xml:space="preserve"> [</w:t>
      </w:r>
      <w:r w:rsidR="001E3F53" w:rsidRPr="000028B6">
        <w:rPr>
          <w:rFonts w:ascii="Times New Roman" w:hAnsi="Times New Roman" w:cs="Times New Roman"/>
          <w:noProof w:val="0"/>
          <w:sz w:val="24"/>
          <w:szCs w:val="24"/>
          <w:lang w:val="en-US"/>
        </w:rPr>
        <w:t>6</w:t>
      </w:r>
      <w:r w:rsidR="00823B98" w:rsidRPr="000028B6">
        <w:rPr>
          <w:rFonts w:ascii="Times New Roman" w:hAnsi="Times New Roman" w:cs="Times New Roman"/>
          <w:noProof w:val="0"/>
          <w:sz w:val="24"/>
          <w:szCs w:val="24"/>
          <w:lang w:val="en-US"/>
        </w:rPr>
        <w:t>4</w:t>
      </w:r>
      <w:r w:rsidR="00317199" w:rsidRPr="000028B6">
        <w:rPr>
          <w:rFonts w:ascii="Times New Roman" w:hAnsi="Times New Roman" w:cs="Times New Roman"/>
          <w:noProof w:val="0"/>
          <w:sz w:val="24"/>
          <w:szCs w:val="24"/>
          <w:lang w:val="en-US"/>
        </w:rPr>
        <w:t xml:space="preserve">, </w:t>
      </w:r>
      <w:r w:rsidR="004A6F10" w:rsidRPr="000028B6">
        <w:rPr>
          <w:rFonts w:ascii="Times New Roman" w:hAnsi="Times New Roman" w:cs="Times New Roman"/>
          <w:noProof w:val="0"/>
          <w:sz w:val="24"/>
          <w:szCs w:val="24"/>
          <w:lang w:val="en-US"/>
        </w:rPr>
        <w:t>6</w:t>
      </w:r>
      <w:r w:rsidR="00823B98" w:rsidRPr="000028B6">
        <w:rPr>
          <w:rFonts w:ascii="Times New Roman" w:hAnsi="Times New Roman" w:cs="Times New Roman"/>
          <w:noProof w:val="0"/>
          <w:sz w:val="24"/>
          <w:szCs w:val="24"/>
          <w:lang w:val="en-US"/>
        </w:rPr>
        <w:t>5</w:t>
      </w:r>
      <w:r w:rsidR="00317199"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Currently available vaccines have been constructed using mRNA, vector and recombination technologies. Regardless of the technology used, all EMA-approved COVID-19 vaccines meet stringent efficacy and safety criteria when used in accordance with the </w:t>
      </w:r>
      <w:r w:rsidR="00E349AF" w:rsidRPr="000028B6">
        <w:rPr>
          <w:rFonts w:ascii="Times New Roman" w:hAnsi="Times New Roman" w:cs="Times New Roman"/>
          <w:noProof w:val="0"/>
          <w:sz w:val="24"/>
          <w:szCs w:val="24"/>
          <w:lang w:val="en-US"/>
        </w:rPr>
        <w:t>summary of product characteristics (</w:t>
      </w:r>
      <w:r w:rsidRPr="000028B6">
        <w:rPr>
          <w:rFonts w:ascii="Times New Roman" w:hAnsi="Times New Roman" w:cs="Times New Roman"/>
          <w:noProof w:val="0"/>
          <w:sz w:val="24"/>
          <w:szCs w:val="24"/>
          <w:lang w:val="en-US"/>
        </w:rPr>
        <w:t>SmPC</w:t>
      </w:r>
      <w:r w:rsidR="00E349AF" w:rsidRPr="000028B6">
        <w:rPr>
          <w:rFonts w:ascii="Times New Roman" w:hAnsi="Times New Roman" w:cs="Times New Roman"/>
          <w:noProof w:val="0"/>
          <w:sz w:val="24"/>
          <w:szCs w:val="24"/>
          <w:lang w:val="en-US"/>
        </w:rPr>
        <w:t>)</w:t>
      </w:r>
      <w:r w:rsidR="00B64AF1" w:rsidRPr="000028B6">
        <w:rPr>
          <w:rFonts w:ascii="Times New Roman" w:hAnsi="Times New Roman" w:cs="Times New Roman"/>
          <w:noProof w:val="0"/>
          <w:sz w:val="24"/>
          <w:szCs w:val="24"/>
          <w:lang w:val="en-US"/>
        </w:rPr>
        <w:t xml:space="preserve"> [</w:t>
      </w:r>
      <w:r w:rsidR="004B503E" w:rsidRPr="000028B6">
        <w:rPr>
          <w:rFonts w:ascii="Times New Roman" w:hAnsi="Times New Roman" w:cs="Times New Roman"/>
          <w:noProof w:val="0"/>
          <w:sz w:val="24"/>
          <w:szCs w:val="24"/>
          <w:lang w:val="en-US"/>
        </w:rPr>
        <w:t>6</w:t>
      </w:r>
      <w:r w:rsidR="00823B98" w:rsidRPr="000028B6">
        <w:rPr>
          <w:rFonts w:ascii="Times New Roman" w:hAnsi="Times New Roman" w:cs="Times New Roman"/>
          <w:noProof w:val="0"/>
          <w:sz w:val="24"/>
          <w:szCs w:val="24"/>
          <w:lang w:val="en-US"/>
        </w:rPr>
        <w:t>6</w:t>
      </w:r>
      <w:r w:rsidR="00B64AF1" w:rsidRPr="000028B6">
        <w:rPr>
          <w:rFonts w:ascii="Times New Roman" w:hAnsi="Times New Roman" w:cs="Times New Roman"/>
          <w:noProof w:val="0"/>
          <w:sz w:val="24"/>
          <w:szCs w:val="24"/>
          <w:lang w:val="en-US"/>
        </w:rPr>
        <w:t xml:space="preserve">, </w:t>
      </w:r>
      <w:r w:rsidR="006F5A9B" w:rsidRPr="000028B6">
        <w:rPr>
          <w:rFonts w:ascii="Times New Roman" w:hAnsi="Times New Roman" w:cs="Times New Roman"/>
          <w:noProof w:val="0"/>
          <w:sz w:val="24"/>
          <w:szCs w:val="24"/>
          <w:lang w:val="en-US"/>
        </w:rPr>
        <w:t>6</w:t>
      </w:r>
      <w:r w:rsidR="00823B98" w:rsidRPr="000028B6">
        <w:rPr>
          <w:rFonts w:ascii="Times New Roman" w:hAnsi="Times New Roman" w:cs="Times New Roman"/>
          <w:noProof w:val="0"/>
          <w:sz w:val="24"/>
          <w:szCs w:val="24"/>
          <w:lang w:val="en-US"/>
        </w:rPr>
        <w:t>7</w:t>
      </w:r>
      <w:r w:rsidR="00B64AF1"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Recommendations for management of the most common doubts regarding vaccination against SARS-CoV-2 are presented below.</w:t>
      </w:r>
    </w:p>
    <w:p w14:paraId="6EF7F90E" w14:textId="6E85F9EA" w:rsidR="00603AD1" w:rsidRPr="000028B6" w:rsidRDefault="00603AD1"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The priority in vaccination against SARS-CoV-2 infections after vaccination of medical workers should be given to people over the age of 60, in order from the age of over 80. Introducing any groups before the end of vaccination of seniors is unacceptable; such action would be unjustified from the point of view of public health, inhumane and would increase the number of deaths, contributing to the extension of the duration of the epidemic with the consequence of prolonging paralysis of the health care system. People with cancer and diabetes under the age of 60, as well as parents of premature babies</w:t>
      </w:r>
      <w:r w:rsidR="00E349AF"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should be considered as another group. After </w:t>
      </w:r>
      <w:r w:rsidR="00FD2DBC" w:rsidRPr="000028B6">
        <w:rPr>
          <w:rFonts w:ascii="Times New Roman" w:hAnsi="Times New Roman" w:cs="Times New Roman"/>
          <w:noProof w:val="0"/>
          <w:sz w:val="24"/>
          <w:szCs w:val="24"/>
          <w:lang w:val="en-US"/>
        </w:rPr>
        <w:t xml:space="preserve">completion of vaccinations in </w:t>
      </w:r>
      <w:r w:rsidR="00E349AF" w:rsidRPr="000028B6">
        <w:rPr>
          <w:rFonts w:ascii="Times New Roman" w:hAnsi="Times New Roman" w:cs="Times New Roman"/>
          <w:noProof w:val="0"/>
          <w:sz w:val="24"/>
          <w:szCs w:val="24"/>
          <w:lang w:val="en-US"/>
        </w:rPr>
        <w:t>the above</w:t>
      </w:r>
      <w:r w:rsidR="00E349AF" w:rsidRPr="000028B6">
        <w:rPr>
          <w:rFonts w:ascii="Times New Roman" w:hAnsi="Times New Roman" w:cs="Times New Roman"/>
          <w:noProof w:val="0"/>
          <w:sz w:val="24"/>
          <w:szCs w:val="24"/>
          <w:lang w:val="en-US"/>
        </w:rPr>
        <w:noBreakHyphen/>
      </w:r>
      <w:r w:rsidR="00FD2DBC" w:rsidRPr="000028B6">
        <w:rPr>
          <w:rFonts w:ascii="Times New Roman" w:hAnsi="Times New Roman" w:cs="Times New Roman"/>
          <w:noProof w:val="0"/>
          <w:sz w:val="24"/>
          <w:szCs w:val="24"/>
          <w:lang w:val="en-US"/>
        </w:rPr>
        <w:t>mentioned groups</w:t>
      </w:r>
      <w:r w:rsidR="008860A1" w:rsidRPr="000028B6">
        <w:rPr>
          <w:rFonts w:ascii="Times New Roman" w:hAnsi="Times New Roman" w:cs="Times New Roman"/>
          <w:noProof w:val="0"/>
          <w:sz w:val="24"/>
          <w:szCs w:val="24"/>
          <w:lang w:val="en-US"/>
        </w:rPr>
        <w:t>,</w:t>
      </w:r>
      <w:r w:rsidR="00FD2DBC" w:rsidRPr="000028B6">
        <w:rPr>
          <w:rFonts w:ascii="Times New Roman" w:hAnsi="Times New Roman" w:cs="Times New Roman"/>
          <w:noProof w:val="0"/>
          <w:sz w:val="24"/>
          <w:szCs w:val="24"/>
          <w:lang w:val="en-US"/>
        </w:rPr>
        <w:t xml:space="preserve"> </w:t>
      </w:r>
      <w:r w:rsidR="008860A1" w:rsidRPr="000028B6">
        <w:rPr>
          <w:rFonts w:ascii="Times New Roman" w:hAnsi="Times New Roman" w:cs="Times New Roman"/>
          <w:noProof w:val="0"/>
          <w:sz w:val="24"/>
          <w:szCs w:val="24"/>
          <w:lang w:val="en-US"/>
        </w:rPr>
        <w:t>patients</w:t>
      </w:r>
      <w:r w:rsidRPr="000028B6">
        <w:rPr>
          <w:rFonts w:ascii="Times New Roman" w:hAnsi="Times New Roman" w:cs="Times New Roman"/>
          <w:noProof w:val="0"/>
          <w:sz w:val="24"/>
          <w:szCs w:val="24"/>
          <w:lang w:val="en-US"/>
        </w:rPr>
        <w:t xml:space="preserve"> with other chronic diseases</w:t>
      </w:r>
      <w:r w:rsidR="008860A1" w:rsidRPr="000028B6">
        <w:rPr>
          <w:rFonts w:ascii="Times New Roman" w:hAnsi="Times New Roman" w:cs="Times New Roman"/>
          <w:noProof w:val="0"/>
          <w:sz w:val="24"/>
          <w:szCs w:val="24"/>
          <w:lang w:val="en-US"/>
        </w:rPr>
        <w:t xml:space="preserve"> should be included</w:t>
      </w:r>
      <w:r w:rsidRPr="000028B6">
        <w:rPr>
          <w:rFonts w:ascii="Times New Roman" w:hAnsi="Times New Roman" w:cs="Times New Roman"/>
          <w:noProof w:val="0"/>
          <w:sz w:val="24"/>
          <w:szCs w:val="24"/>
          <w:lang w:val="en-US"/>
        </w:rPr>
        <w:t xml:space="preserve">. Only after vaccinating people over 60 years of age and chronically ill is </w:t>
      </w:r>
      <w:r w:rsidR="00E349AF" w:rsidRPr="000028B6">
        <w:rPr>
          <w:rFonts w:ascii="Times New Roman" w:hAnsi="Times New Roman" w:cs="Times New Roman"/>
          <w:noProof w:val="0"/>
          <w:sz w:val="24"/>
          <w:szCs w:val="24"/>
          <w:lang w:val="en-US"/>
        </w:rPr>
        <w:t xml:space="preserve">it </w:t>
      </w:r>
      <w:r w:rsidRPr="000028B6">
        <w:rPr>
          <w:rFonts w:ascii="Times New Roman" w:hAnsi="Times New Roman" w:cs="Times New Roman"/>
          <w:noProof w:val="0"/>
          <w:sz w:val="24"/>
          <w:szCs w:val="24"/>
          <w:lang w:val="en-US"/>
        </w:rPr>
        <w:t>justified to take into account the social factors that determine the priority of vaccination.</w:t>
      </w:r>
    </w:p>
    <w:p w14:paraId="476ABA44" w14:textId="77777777" w:rsidR="00603AD1" w:rsidRPr="000028B6" w:rsidRDefault="00603AD1"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People who develop COVID-19 after the first dose of the vaccine may receive a second dose according to the schedule and time frame permitted by the vaccine SmPC. If this is not possible due to persistent disease symptoms, consideration should be given to restarting vaccination at least 6 months after the onset of disease symptoms, or after specific anti-spike antibodies have disappeared. </w:t>
      </w:r>
    </w:p>
    <w:p w14:paraId="1448AEF7" w14:textId="77777777" w:rsidR="00603AD1" w:rsidRPr="000028B6" w:rsidRDefault="00603AD1"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There are no contraindications for vaccination after COVID-19. However, the persistence of the specific immune response following SARS-CoV-2 infection is unknown. Based on the current state of knowledge, it is possible to postpone the vaccination of people who have had COVID-19 up to 6 months. However, it should be emphasized that due to the emerging new research results, the recommended time interval between disease and vaccination will probably be extended.</w:t>
      </w:r>
    </w:p>
    <w:p w14:paraId="6B90037F" w14:textId="24D1823E" w:rsidR="00603AD1" w:rsidRPr="000028B6" w:rsidRDefault="002F5994"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A </w:t>
      </w:r>
      <w:r w:rsidR="00603AD1" w:rsidRPr="000028B6">
        <w:rPr>
          <w:rFonts w:ascii="Times New Roman" w:hAnsi="Times New Roman" w:cs="Times New Roman"/>
          <w:noProof w:val="0"/>
          <w:sz w:val="24"/>
          <w:szCs w:val="24"/>
          <w:lang w:val="en-US"/>
        </w:rPr>
        <w:t xml:space="preserve">contraindication to vaccination against SARS-CoV-2 is hypersensitivity to the active substance or to any of the excipients contained in the vaccine, or a history of any anaphylactic reaction in the past. It is permissible to vaccinate such a person with full </w:t>
      </w:r>
      <w:r w:rsidR="00603AD1" w:rsidRPr="000028B6">
        <w:rPr>
          <w:rFonts w:ascii="Times New Roman" w:hAnsi="Times New Roman" w:cs="Times New Roman"/>
          <w:noProof w:val="0"/>
          <w:sz w:val="24"/>
          <w:szCs w:val="24"/>
          <w:lang w:val="en-US"/>
        </w:rPr>
        <w:lastRenderedPageBreak/>
        <w:t>protection against shock in hospital conditions, after prior notification of possible risks and obtaining written informed consent for vaccination.</w:t>
      </w:r>
    </w:p>
    <w:p w14:paraId="70F12A25" w14:textId="156EA4A3" w:rsidR="00603AD1" w:rsidRPr="000028B6" w:rsidRDefault="002F5994"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w:t>
      </w:r>
      <w:r w:rsidR="00603AD1" w:rsidRPr="000028B6">
        <w:rPr>
          <w:rFonts w:ascii="Times New Roman" w:hAnsi="Times New Roman" w:cs="Times New Roman"/>
          <w:noProof w:val="0"/>
          <w:sz w:val="24"/>
          <w:szCs w:val="24"/>
          <w:lang w:val="en-US"/>
        </w:rPr>
        <w:t>hronic diseases, including cancer, or treatment</w:t>
      </w:r>
      <w:r w:rsidRPr="000028B6">
        <w:rPr>
          <w:rFonts w:ascii="Times New Roman" w:hAnsi="Times New Roman" w:cs="Times New Roman"/>
          <w:noProof w:val="0"/>
          <w:sz w:val="24"/>
          <w:szCs w:val="24"/>
          <w:lang w:val="en-US"/>
        </w:rPr>
        <w:t>s</w:t>
      </w:r>
      <w:r w:rsidR="00603AD1" w:rsidRPr="000028B6">
        <w:rPr>
          <w:rFonts w:ascii="Times New Roman" w:hAnsi="Times New Roman" w:cs="Times New Roman"/>
          <w:noProof w:val="0"/>
          <w:sz w:val="24"/>
          <w:szCs w:val="24"/>
          <w:lang w:val="en-US"/>
        </w:rPr>
        <w:t>, including immunosuppressive</w:t>
      </w:r>
      <w:r w:rsidRPr="000028B6">
        <w:rPr>
          <w:rFonts w:ascii="Times New Roman" w:hAnsi="Times New Roman" w:cs="Times New Roman"/>
          <w:noProof w:val="0"/>
          <w:sz w:val="24"/>
          <w:szCs w:val="24"/>
          <w:lang w:val="en-US"/>
        </w:rPr>
        <w:t>, are not contraindications to vaccination against SARS-CoV-2</w:t>
      </w:r>
      <w:r w:rsidR="00603AD1" w:rsidRPr="000028B6">
        <w:rPr>
          <w:rFonts w:ascii="Times New Roman" w:hAnsi="Times New Roman" w:cs="Times New Roman"/>
          <w:noProof w:val="0"/>
          <w:sz w:val="24"/>
          <w:szCs w:val="24"/>
          <w:lang w:val="en-US"/>
        </w:rPr>
        <w:t xml:space="preserve">. However, vaccination is not recommended in the course of febrile diseases and in the period of exacerbation of chronic diseases. In people who have undergone organ or bone marrow transplantation, it is recommended not to vaccinate for 6 months after the procedure. </w:t>
      </w:r>
      <w:r w:rsidR="00FD2DBC" w:rsidRPr="000028B6">
        <w:rPr>
          <w:rFonts w:ascii="Times New Roman" w:hAnsi="Times New Roman" w:cs="Times New Roman"/>
          <w:noProof w:val="0"/>
          <w:sz w:val="24"/>
          <w:szCs w:val="24"/>
          <w:lang w:val="en-US"/>
        </w:rPr>
        <w:t xml:space="preserve">The optimal timing for vaccination in patients </w:t>
      </w:r>
      <w:r w:rsidRPr="000028B6">
        <w:rPr>
          <w:rFonts w:ascii="Times New Roman" w:hAnsi="Times New Roman" w:cs="Times New Roman"/>
          <w:noProof w:val="0"/>
          <w:sz w:val="24"/>
          <w:szCs w:val="24"/>
          <w:lang w:val="en-US"/>
        </w:rPr>
        <w:t xml:space="preserve">scheduled </w:t>
      </w:r>
      <w:r w:rsidR="00FD2DBC" w:rsidRPr="000028B6">
        <w:rPr>
          <w:rFonts w:ascii="Times New Roman" w:hAnsi="Times New Roman" w:cs="Times New Roman"/>
          <w:noProof w:val="0"/>
          <w:sz w:val="24"/>
          <w:szCs w:val="24"/>
          <w:lang w:val="en-US"/>
        </w:rPr>
        <w:t xml:space="preserve">for or undergoing immunosuppressive/biological therapy should be checked with appropriate specialist guidelines. </w:t>
      </w:r>
      <w:r w:rsidR="00603AD1" w:rsidRPr="000028B6">
        <w:rPr>
          <w:rFonts w:ascii="Times New Roman" w:hAnsi="Times New Roman" w:cs="Times New Roman"/>
          <w:noProof w:val="0"/>
          <w:sz w:val="24"/>
          <w:szCs w:val="24"/>
          <w:lang w:val="en-US"/>
        </w:rPr>
        <w:t>Due to the risk of extravasation and bleeding, particular care should be taken when administering the vaccine to patients with severe coagulation disorders; it is advisable to compensate for any deficiencies before vaccination and apply pressure at the injection site after injection.</w:t>
      </w:r>
    </w:p>
    <w:p w14:paraId="5BF086D3" w14:textId="39E68CB7" w:rsidR="00603AD1" w:rsidRPr="000028B6" w:rsidRDefault="0002512F"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color w:val="000000" w:themeColor="text1"/>
          <w:sz w:val="24"/>
          <w:szCs w:val="24"/>
          <w:lang w:val="en-US"/>
        </w:rPr>
        <w:t>According to CDC pregnant females with COVID-19 might be at increased risk of adverse pregnancy outcomes, such as preterm birth, compared with pregnant women without COVID-19 [6</w:t>
      </w:r>
      <w:r w:rsidR="00823B98" w:rsidRPr="000028B6">
        <w:rPr>
          <w:rFonts w:ascii="Times New Roman" w:hAnsi="Times New Roman" w:cs="Times New Roman"/>
          <w:noProof w:val="0"/>
          <w:color w:val="000000" w:themeColor="text1"/>
          <w:sz w:val="24"/>
          <w:szCs w:val="24"/>
          <w:lang w:val="en-US"/>
        </w:rPr>
        <w:t>8</w:t>
      </w:r>
      <w:r w:rsidRPr="000028B6">
        <w:rPr>
          <w:rFonts w:ascii="Times New Roman" w:hAnsi="Times New Roman" w:cs="Times New Roman"/>
          <w:noProof w:val="0"/>
          <w:color w:val="000000" w:themeColor="text1"/>
          <w:sz w:val="24"/>
          <w:szCs w:val="24"/>
          <w:lang w:val="en-US"/>
        </w:rPr>
        <w:t xml:space="preserve">]. </w:t>
      </w:r>
      <w:r w:rsidR="00603AD1" w:rsidRPr="000028B6">
        <w:rPr>
          <w:rFonts w:ascii="Times New Roman" w:hAnsi="Times New Roman" w:cs="Times New Roman"/>
          <w:noProof w:val="0"/>
          <w:color w:val="000000" w:themeColor="text1"/>
          <w:sz w:val="24"/>
          <w:szCs w:val="24"/>
          <w:lang w:val="en-US"/>
        </w:rPr>
        <w:t xml:space="preserve">Before </w:t>
      </w:r>
      <w:r w:rsidR="00603AD1" w:rsidRPr="000028B6">
        <w:rPr>
          <w:rFonts w:ascii="Times New Roman" w:hAnsi="Times New Roman" w:cs="Times New Roman"/>
          <w:noProof w:val="0"/>
          <w:sz w:val="24"/>
          <w:szCs w:val="24"/>
          <w:lang w:val="en-US"/>
        </w:rPr>
        <w:t>deciding whether to vaccinate, pregnant women must be informed about the lack of studies on the effects of vaccination against SARS-CoV-2 on fetal development. After considering the risk of infection</w:t>
      </w:r>
      <w:r w:rsidR="00792B35" w:rsidRPr="000028B6">
        <w:rPr>
          <w:rFonts w:ascii="Times New Roman" w:hAnsi="Times New Roman" w:cs="Times New Roman"/>
          <w:noProof w:val="0"/>
          <w:sz w:val="24"/>
          <w:szCs w:val="24"/>
          <w:lang w:val="en-US"/>
        </w:rPr>
        <w:t>, which can be dangerous in pregnancy</w:t>
      </w:r>
      <w:r w:rsidR="00603AD1" w:rsidRPr="000028B6">
        <w:rPr>
          <w:rFonts w:ascii="Times New Roman" w:hAnsi="Times New Roman" w:cs="Times New Roman"/>
          <w:noProof w:val="0"/>
          <w:sz w:val="24"/>
          <w:szCs w:val="24"/>
          <w:lang w:val="en-US"/>
        </w:rPr>
        <w:t xml:space="preserve">, they should </w:t>
      </w:r>
      <w:r w:rsidR="00590916" w:rsidRPr="000028B6">
        <w:rPr>
          <w:rFonts w:ascii="Times New Roman" w:hAnsi="Times New Roman" w:cs="Times New Roman"/>
          <w:noProof w:val="0"/>
          <w:sz w:val="24"/>
          <w:szCs w:val="24"/>
          <w:lang w:val="en-US"/>
        </w:rPr>
        <w:t xml:space="preserve">provide written </w:t>
      </w:r>
      <w:r w:rsidR="00603AD1" w:rsidRPr="000028B6">
        <w:rPr>
          <w:rFonts w:ascii="Times New Roman" w:hAnsi="Times New Roman" w:cs="Times New Roman"/>
          <w:noProof w:val="0"/>
          <w:sz w:val="24"/>
          <w:szCs w:val="24"/>
          <w:lang w:val="en-US"/>
        </w:rPr>
        <w:t>informed consent to be vaccinated when deciding to immunize.</w:t>
      </w:r>
    </w:p>
    <w:p w14:paraId="20C89634" w14:textId="77777777" w:rsidR="00603AD1" w:rsidRPr="000028B6" w:rsidRDefault="00603AD1"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Lactation is not a contraindication to vaccination against SARS-CoV-2. Due to the lack of research in this group, the decision to vaccinate should be made individually by the breastfeeding woman and confirmed by written informed consent to undergo vaccination.</w:t>
      </w:r>
    </w:p>
    <w:p w14:paraId="5B8F250D" w14:textId="34758D39" w:rsidR="00603AD1" w:rsidRPr="000028B6" w:rsidRDefault="00603AD1" w:rsidP="000028B6">
      <w:pPr>
        <w:pStyle w:val="Akapitzlist"/>
        <w:numPr>
          <w:ilvl w:val="0"/>
          <w:numId w:val="5"/>
        </w:numPr>
        <w:spacing w:line="480" w:lineRule="auto"/>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Vaccination against SARS-CoV-2 can be carried out with a 4-week interval from vaccines containing live microorganisms</w:t>
      </w:r>
      <w:r w:rsidR="00590916" w:rsidRPr="000028B6">
        <w:rPr>
          <w:rFonts w:ascii="Times New Roman" w:hAnsi="Times New Roman" w:cs="Times New Roman"/>
          <w:noProof w:val="0"/>
          <w:sz w:val="24"/>
          <w:szCs w:val="24"/>
          <w:lang w:val="en-US"/>
        </w:rPr>
        <w:t>. I</w:t>
      </w:r>
      <w:r w:rsidRPr="000028B6">
        <w:rPr>
          <w:rFonts w:ascii="Times New Roman" w:hAnsi="Times New Roman" w:cs="Times New Roman"/>
          <w:noProof w:val="0"/>
          <w:sz w:val="24"/>
          <w:szCs w:val="24"/>
          <w:lang w:val="en-US"/>
        </w:rPr>
        <w:t xml:space="preserve">n other cases the interval should be at least 2 weeks in </w:t>
      </w:r>
      <w:r w:rsidRPr="000028B6">
        <w:rPr>
          <w:rFonts w:ascii="Times New Roman" w:hAnsi="Times New Roman" w:cs="Times New Roman"/>
          <w:noProof w:val="0"/>
          <w:sz w:val="24"/>
          <w:szCs w:val="24"/>
          <w:lang w:val="en-US"/>
        </w:rPr>
        <w:lastRenderedPageBreak/>
        <w:t xml:space="preserve">order to differentiate possible post-vaccination reactions and avoid the risk of </w:t>
      </w:r>
      <w:r w:rsidR="00590916" w:rsidRPr="000028B6">
        <w:rPr>
          <w:rFonts w:ascii="Times New Roman" w:hAnsi="Times New Roman" w:cs="Times New Roman"/>
          <w:noProof w:val="0"/>
          <w:sz w:val="24"/>
          <w:szCs w:val="24"/>
          <w:lang w:val="en-US"/>
        </w:rPr>
        <w:t xml:space="preserve">a </w:t>
      </w:r>
      <w:r w:rsidRPr="000028B6">
        <w:rPr>
          <w:rFonts w:ascii="Times New Roman" w:hAnsi="Times New Roman" w:cs="Times New Roman"/>
          <w:noProof w:val="0"/>
          <w:sz w:val="24"/>
          <w:szCs w:val="24"/>
          <w:lang w:val="en-US"/>
        </w:rPr>
        <w:t>reduced specific immune response to one of the vaccines.</w:t>
      </w:r>
    </w:p>
    <w:p w14:paraId="18986B2E" w14:textId="77777777" w:rsidR="00CF7B49" w:rsidRPr="000028B6" w:rsidRDefault="00CF7B49" w:rsidP="000028B6">
      <w:pPr>
        <w:spacing w:line="480" w:lineRule="auto"/>
        <w:rPr>
          <w:rFonts w:ascii="Times New Roman" w:hAnsi="Times New Roman" w:cs="Times New Roman"/>
          <w:b/>
          <w:bCs/>
          <w:noProof w:val="0"/>
          <w:sz w:val="24"/>
          <w:szCs w:val="24"/>
          <w:lang w:val="en-US"/>
        </w:rPr>
      </w:pPr>
    </w:p>
    <w:p w14:paraId="51B15F9E" w14:textId="105B45FB" w:rsidR="00DC215A" w:rsidRPr="000028B6" w:rsidRDefault="003A63BF" w:rsidP="000028B6">
      <w:pPr>
        <w:spacing w:line="480" w:lineRule="auto"/>
        <w:rPr>
          <w:rFonts w:ascii="Times New Roman" w:hAnsi="Times New Roman" w:cs="Times New Roman"/>
          <w:b/>
          <w:bCs/>
          <w:noProof w:val="0"/>
          <w:sz w:val="24"/>
          <w:szCs w:val="24"/>
          <w:lang w:val="en-US"/>
        </w:rPr>
      </w:pPr>
      <w:r w:rsidRPr="000028B6">
        <w:rPr>
          <w:rFonts w:ascii="Times New Roman" w:hAnsi="Times New Roman" w:cs="Times New Roman"/>
          <w:b/>
          <w:bCs/>
          <w:noProof w:val="0"/>
          <w:sz w:val="24"/>
          <w:szCs w:val="24"/>
          <w:lang w:val="en-US"/>
        </w:rPr>
        <w:t>References</w:t>
      </w:r>
    </w:p>
    <w:p w14:paraId="20272737" w14:textId="77777777"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Ciotti M, Angeletti S, Minieri M, et al. COVID-19 Outbreak: An Overview. Chemotherapy 2019; 64: 215-223.</w:t>
      </w:r>
    </w:p>
    <w:p w14:paraId="1918387B" w14:textId="0A7645BF"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Flisiak R, Horban A, Jaroszewicz J, et al. </w:t>
      </w:r>
      <w:r w:rsidRPr="000028B6">
        <w:rPr>
          <w:rFonts w:ascii="Times New Roman" w:hAnsi="Times New Roman" w:cs="Times New Roman"/>
          <w:noProof w:val="0"/>
          <w:sz w:val="24"/>
          <w:szCs w:val="24"/>
          <w:lang w:val="en-US"/>
        </w:rPr>
        <w:t>Management of SARS-CoV-2 infection: recommendations of the Polish Association of Epidemiologists and Infectiologists as of March 31, 2020. Pol Arch Intern Med</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130: 352-357</w:t>
      </w:r>
    </w:p>
    <w:p w14:paraId="513B95CF" w14:textId="765E7804"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Flisiak R, Horban A, Jaroszewicz J, et al. </w:t>
      </w:r>
      <w:r w:rsidRPr="000028B6">
        <w:rPr>
          <w:rFonts w:ascii="Times New Roman" w:hAnsi="Times New Roman" w:cs="Times New Roman"/>
          <w:noProof w:val="0"/>
          <w:sz w:val="24"/>
          <w:szCs w:val="24"/>
          <w:lang w:val="en-US"/>
        </w:rPr>
        <w:t>Management of SARS-CoV-2 infection: recommendations of the Polish Association of Epidemiologists and Infectiologists. Annex no. 1 as of June 8, 2020. Pol Arch Intern Med</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130: 557-558. </w:t>
      </w:r>
    </w:p>
    <w:p w14:paraId="75EEF8D8" w14:textId="212F242C"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Ye M, Fu D, Ren Y, et al. Treatment with convalescent plasma for COVID-19 patients in Wuhan, China. J Med Virol</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92: 1890-1901. </w:t>
      </w:r>
    </w:p>
    <w:p w14:paraId="4091415F" w14:textId="288B630F"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Beigel JH, Tomashek KM, Dodd LE, et al. Remdesivir for the Treatment of Covid-19 - Final Report. N Engl J Med</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383: 1813-1826.</w:t>
      </w:r>
    </w:p>
    <w:p w14:paraId="1F85B826" w14:textId="13314230"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Flisiak R, Zarębska-Michaluk D, Berkan-Kawińska A, et al. </w:t>
      </w:r>
      <w:r w:rsidRPr="000028B6">
        <w:rPr>
          <w:rFonts w:ascii="Times New Roman" w:hAnsi="Times New Roman" w:cs="Times New Roman"/>
          <w:noProof w:val="0"/>
          <w:sz w:val="24"/>
          <w:szCs w:val="24"/>
          <w:lang w:val="en-US"/>
        </w:rPr>
        <w:t xml:space="preserve">Remdesivir-based therapy improved the recovery of patients with COVID-19 in the multicenter, real-world SARSTer study. Pol Arch Intern </w:t>
      </w:r>
      <w:r w:rsidR="009A698C" w:rsidRPr="000028B6">
        <w:rPr>
          <w:rFonts w:ascii="Times New Roman" w:hAnsi="Times New Roman" w:cs="Times New Roman"/>
          <w:noProof w:val="0"/>
          <w:sz w:val="24"/>
          <w:szCs w:val="24"/>
          <w:lang w:val="en-US"/>
        </w:rPr>
        <w:t>Med.</w:t>
      </w:r>
      <w:r w:rsidRPr="000028B6">
        <w:rPr>
          <w:rFonts w:ascii="Times New Roman" w:hAnsi="Times New Roman" w:cs="Times New Roman"/>
          <w:noProof w:val="0"/>
          <w:sz w:val="24"/>
          <w:szCs w:val="24"/>
          <w:lang w:val="en-US"/>
        </w:rPr>
        <w:t xml:space="preserve"> 2021; 131: 103-110.</w:t>
      </w:r>
    </w:p>
    <w:p w14:paraId="67F64D17" w14:textId="63C4D865"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Tomasiewicz K, Piekarska A, Stempkowska-Rejek J, et al. </w:t>
      </w:r>
      <w:r w:rsidRPr="000028B6">
        <w:rPr>
          <w:rFonts w:ascii="Times New Roman" w:hAnsi="Times New Roman" w:cs="Times New Roman"/>
          <w:noProof w:val="0"/>
          <w:sz w:val="24"/>
          <w:szCs w:val="24"/>
          <w:lang w:val="en-US"/>
        </w:rPr>
        <w:t>Tocilizumab for patients with severe COVID-19: a retrospective, multi-center study. Expert Rev Anti Infect Ther</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19: 93-100.</w:t>
      </w:r>
    </w:p>
    <w:p w14:paraId="217AFB74" w14:textId="11AE73EF"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Horby P, Lim WS, Emberson JR, et al. Dexamethasone in Hospitalized Patients with Covid-19. N Engl J Med</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384: 693-704.</w:t>
      </w:r>
    </w:p>
    <w:p w14:paraId="1695D157" w14:textId="6CA2581C"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Flisiak R, Parczewski M, Horban A, et al. Management of SARS-CoV-2 infection: recommendations of the Polish Association of Epidemiologists and Infectiologists. Annex no. 2 as of October 13, 2020. Pol Arch Intern Med</w:t>
      </w:r>
      <w:r w:rsidR="009A698C"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130: 915-918.</w:t>
      </w:r>
    </w:p>
    <w:p w14:paraId="03FD0DF2" w14:textId="20A04EA6" w:rsidR="0097203D" w:rsidRPr="000028B6" w:rsidRDefault="0097203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Volz E, Mishra S, Chand M, et al. Transmission of SARS-CoV-2 Lineage B. 1.1. 7 in England: Insights from linking epidemiological and genetic data. medRxiv 2020.12.30.20249034</w:t>
      </w:r>
    </w:p>
    <w:p w14:paraId="1E0CAD9F" w14:textId="11FD1B49" w:rsidR="0097203D" w:rsidRPr="000028B6" w:rsidRDefault="0097203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European Centre for Disease Prevention and Control (ECDC). Sequencing o</w:t>
      </w:r>
      <w:r w:rsidR="00A0327F" w:rsidRPr="000028B6">
        <w:rPr>
          <w:rFonts w:ascii="Times New Roman" w:hAnsi="Times New Roman" w:cs="Times New Roman"/>
          <w:noProof w:val="0"/>
          <w:sz w:val="24"/>
          <w:szCs w:val="24"/>
          <w:lang w:val="en-US"/>
        </w:rPr>
        <w:t xml:space="preserve">f SARS-CoV-2. 23 December 2020, https://www.ecdc.europa.eu/sites/default/files/documents/sequencing-of-SARS-CoV-2.pdf. </w:t>
      </w:r>
      <w:r w:rsidR="009A698C" w:rsidRPr="000028B6">
        <w:rPr>
          <w:rFonts w:ascii="Times New Roman" w:hAnsi="Times New Roman" w:cs="Times New Roman"/>
          <w:noProof w:val="0"/>
          <w:sz w:val="24"/>
          <w:szCs w:val="24"/>
          <w:lang w:val="en-US"/>
        </w:rPr>
        <w:t xml:space="preserve"> Accessed </w:t>
      </w:r>
      <w:r w:rsidR="00A0327F" w:rsidRPr="000028B6">
        <w:rPr>
          <w:rFonts w:ascii="Times New Roman" w:hAnsi="Times New Roman" w:cs="Times New Roman"/>
          <w:noProof w:val="0"/>
          <w:sz w:val="24"/>
          <w:szCs w:val="24"/>
          <w:lang w:val="en-US"/>
        </w:rPr>
        <w:t>April</w:t>
      </w:r>
      <w:r w:rsidR="009A698C" w:rsidRPr="000028B6">
        <w:rPr>
          <w:rFonts w:ascii="Times New Roman" w:hAnsi="Times New Roman" w:cs="Times New Roman"/>
          <w:noProof w:val="0"/>
          <w:sz w:val="24"/>
          <w:szCs w:val="24"/>
          <w:lang w:val="en-US"/>
        </w:rPr>
        <w:t xml:space="preserve"> </w:t>
      </w:r>
      <w:r w:rsidR="00A0327F" w:rsidRPr="000028B6">
        <w:rPr>
          <w:rFonts w:ascii="Times New Roman" w:hAnsi="Times New Roman" w:cs="Times New Roman"/>
          <w:noProof w:val="0"/>
          <w:sz w:val="24"/>
          <w:szCs w:val="24"/>
          <w:lang w:val="en-US"/>
        </w:rPr>
        <w:t>2</w:t>
      </w:r>
      <w:r w:rsidR="009A698C" w:rsidRPr="000028B6">
        <w:rPr>
          <w:rFonts w:ascii="Times New Roman" w:hAnsi="Times New Roman" w:cs="Times New Roman"/>
          <w:noProof w:val="0"/>
          <w:sz w:val="24"/>
          <w:szCs w:val="24"/>
          <w:lang w:val="en-US"/>
        </w:rPr>
        <w:t>, 2021.</w:t>
      </w:r>
    </w:p>
    <w:p w14:paraId="676D62C8" w14:textId="159EDE15" w:rsidR="0097203D" w:rsidRPr="000028B6" w:rsidRDefault="0097203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Rambaut A, Loman N, Pybus O, et al. Preliminary genomic characterisation of an emergent SARS-CoV-2 lineage in the UK defined by</w:t>
      </w:r>
      <w:r w:rsidR="00A0327F" w:rsidRPr="000028B6">
        <w:rPr>
          <w:rFonts w:ascii="Times New Roman" w:hAnsi="Times New Roman" w:cs="Times New Roman"/>
          <w:noProof w:val="0"/>
          <w:sz w:val="24"/>
          <w:szCs w:val="24"/>
          <w:lang w:val="en-US"/>
        </w:rPr>
        <w:t xml:space="preserve"> a novel set of spike mutations. </w:t>
      </w:r>
      <w:r w:rsidR="00A0327F" w:rsidRPr="000028B6">
        <w:rPr>
          <w:rFonts w:ascii="Times New Roman" w:hAnsi="Times New Roman" w:cs="Times New Roman"/>
          <w:noProof w:val="0"/>
          <w:sz w:val="24"/>
          <w:szCs w:val="24"/>
          <w:lang w:val="en-GB"/>
        </w:rPr>
        <w:t xml:space="preserve">https://virological.org/t/preliminary-genomic-characterisation-of-an-emergent-sars-cov-2-lineage-in-the-uk-defined-by-a-novel-set-of-spike-mutations/563. </w:t>
      </w:r>
      <w:r w:rsidR="00A0327F" w:rsidRPr="000028B6">
        <w:rPr>
          <w:rFonts w:ascii="Times New Roman" w:hAnsi="Times New Roman" w:cs="Times New Roman"/>
          <w:noProof w:val="0"/>
          <w:sz w:val="24"/>
          <w:szCs w:val="24"/>
          <w:lang w:val="en-US"/>
        </w:rPr>
        <w:t>Accessed April 2, 2021.</w:t>
      </w:r>
    </w:p>
    <w:p w14:paraId="6A73916F" w14:textId="796C333A" w:rsidR="0097203D" w:rsidRPr="000028B6" w:rsidRDefault="00A0327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Rambaut A, Holmes EC, O’Toole Á, et al. A dynamic nomenclature proposal for SARS-CoV-2 lineages to assist genomic epidemiology. Nat Microbiol. 2020; 5: 1403–1407.</w:t>
      </w:r>
    </w:p>
    <w:p w14:paraId="6C67C8CA" w14:textId="4488F1B1" w:rsidR="0097203D" w:rsidRPr="000028B6" w:rsidRDefault="0097203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Davies N</w:t>
      </w:r>
      <w:r w:rsidR="000C643A" w:rsidRPr="000028B6">
        <w:rPr>
          <w:rFonts w:ascii="Times New Roman" w:hAnsi="Times New Roman" w:cs="Times New Roman"/>
          <w:noProof w:val="0"/>
          <w:sz w:val="24"/>
          <w:szCs w:val="24"/>
          <w:lang w:val="en-US"/>
        </w:rPr>
        <w:t>G</w:t>
      </w:r>
      <w:r w:rsidRPr="000028B6">
        <w:rPr>
          <w:rFonts w:ascii="Times New Roman" w:hAnsi="Times New Roman" w:cs="Times New Roman"/>
          <w:noProof w:val="0"/>
          <w:sz w:val="24"/>
          <w:szCs w:val="24"/>
          <w:lang w:val="en-US"/>
        </w:rPr>
        <w:t>, Barnard RC, Jarvis CI, et al. Estimated transmissibility and severity of novel SARS-CoV-2 Variant of Concern 202012/01 in England. medRxiv 2020.12.24.20248822</w:t>
      </w:r>
    </w:p>
    <w:p w14:paraId="7D7C54F9" w14:textId="2E4F3021" w:rsidR="000C643A" w:rsidRPr="000028B6" w:rsidRDefault="000C643A"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Davies NG, Jarvis CI, CMMID COVID-19 Working Group. et al. Increased mortality in community-tested cases of SARS-CoV-2 lineage B.1.1.7. Nature. 2021. https://doi.org/10.1038/s41586-021-03426-1 . Accessed April 6, 2021.</w:t>
      </w:r>
    </w:p>
    <w:p w14:paraId="45DEE5FA" w14:textId="1F1B8F38" w:rsidR="00CF7B49" w:rsidRPr="000028B6" w:rsidRDefault="00CF7B49"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Hoffmann M, Kleine-Weber H, Schroeder S, et al. SARS-CoV-2 cell entry depends on ACE2 and TMPRSS2 and is blocked by a clinically proven protease inhibitor. </w:t>
      </w:r>
      <w:r w:rsidR="00857ADA" w:rsidRPr="000028B6">
        <w:rPr>
          <w:rFonts w:ascii="Times New Roman" w:hAnsi="Times New Roman" w:cs="Times New Roman"/>
          <w:noProof w:val="0"/>
          <w:sz w:val="24"/>
          <w:szCs w:val="24"/>
          <w:lang w:val="en-US"/>
        </w:rPr>
        <w:t>Cell. 2020; 181: 271-280.</w:t>
      </w:r>
    </w:p>
    <w:p w14:paraId="13298F4D" w14:textId="08E9124D" w:rsidR="00CF7B49" w:rsidRPr="000028B6" w:rsidRDefault="00CF7B49"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Attaway</w:t>
      </w:r>
      <w:r w:rsidR="00857ADA"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AH, Scheraga RG, Bhimraj A, </w:t>
      </w:r>
      <w:r w:rsidR="000B7776" w:rsidRPr="000028B6">
        <w:rPr>
          <w:rFonts w:ascii="Times New Roman" w:hAnsi="Times New Roman" w:cs="Times New Roman"/>
          <w:noProof w:val="0"/>
          <w:sz w:val="24"/>
          <w:szCs w:val="24"/>
          <w:lang w:val="en-US"/>
        </w:rPr>
        <w:t>et al</w:t>
      </w:r>
      <w:r w:rsidRPr="000028B6">
        <w:rPr>
          <w:rFonts w:ascii="Times New Roman" w:hAnsi="Times New Roman" w:cs="Times New Roman"/>
          <w:noProof w:val="0"/>
          <w:sz w:val="24"/>
          <w:szCs w:val="24"/>
          <w:lang w:val="en-US"/>
        </w:rPr>
        <w:t xml:space="preserve">. Severe covid-19 pneumonia: pathogenesis and clinical management. </w:t>
      </w:r>
      <w:r w:rsidR="000B7776" w:rsidRPr="000028B6">
        <w:rPr>
          <w:rFonts w:ascii="Times New Roman" w:hAnsi="Times New Roman" w:cs="Times New Roman"/>
          <w:noProof w:val="0"/>
          <w:sz w:val="24"/>
          <w:szCs w:val="24"/>
          <w:lang w:val="en-US"/>
        </w:rPr>
        <w:t>BMJ</w:t>
      </w:r>
      <w:r w:rsidR="00857ADA" w:rsidRPr="000028B6">
        <w:rPr>
          <w:rFonts w:ascii="Times New Roman" w:hAnsi="Times New Roman" w:cs="Times New Roman"/>
          <w:noProof w:val="0"/>
          <w:sz w:val="24"/>
          <w:szCs w:val="24"/>
          <w:lang w:val="en-US"/>
        </w:rPr>
        <w:t>.</w:t>
      </w:r>
      <w:r w:rsidR="000B7776" w:rsidRPr="000028B6">
        <w:rPr>
          <w:rFonts w:ascii="Times New Roman" w:hAnsi="Times New Roman" w:cs="Times New Roman"/>
          <w:noProof w:val="0"/>
          <w:sz w:val="24"/>
          <w:szCs w:val="24"/>
          <w:lang w:val="en-US"/>
        </w:rPr>
        <w:t xml:space="preserve"> 2021; 372: n436.</w:t>
      </w:r>
    </w:p>
    <w:p w14:paraId="7B133E15" w14:textId="0CB907A4" w:rsidR="000E35DD" w:rsidRPr="000028B6" w:rsidRDefault="000E35DD"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Trougakos IP, Stamatelopoulos K, Terpos E</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et al. Insights to SARS-CoV-2 life cycle, pathophysiology, and rationalized treatments that target COVID-19 clinical complications. J Biomed Sci</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28: 9.</w:t>
      </w:r>
    </w:p>
    <w:p w14:paraId="3C6B2A88" w14:textId="3262C68E" w:rsidR="00CF7B49" w:rsidRPr="000028B6" w:rsidRDefault="00CF7B49"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Becker RC.</w:t>
      </w:r>
      <w:r w:rsidR="000B7776"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COVID-19 update: Covid-19-associated coagulopathy</w:t>
      </w:r>
      <w:r w:rsidR="000B7776"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J Thromb Thrombolysis</w:t>
      </w:r>
      <w:r w:rsidR="00857ADA" w:rsidRPr="000028B6">
        <w:rPr>
          <w:rFonts w:ascii="Times New Roman" w:hAnsi="Times New Roman" w:cs="Times New Roman"/>
          <w:noProof w:val="0"/>
          <w:sz w:val="24"/>
          <w:szCs w:val="24"/>
          <w:lang w:val="en-US"/>
        </w:rPr>
        <w:t>.</w:t>
      </w:r>
      <w:r w:rsidR="000B7776"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2020</w:t>
      </w:r>
      <w:r w:rsidR="000B7776" w:rsidRPr="000028B6">
        <w:rPr>
          <w:rFonts w:ascii="Times New Roman" w:hAnsi="Times New Roman" w:cs="Times New Roman"/>
          <w:noProof w:val="0"/>
          <w:sz w:val="24"/>
          <w:szCs w:val="24"/>
          <w:lang w:val="en-US"/>
        </w:rPr>
        <w:t>; 50</w:t>
      </w:r>
      <w:r w:rsidRPr="000028B6">
        <w:rPr>
          <w:rFonts w:ascii="Times New Roman" w:hAnsi="Times New Roman" w:cs="Times New Roman"/>
          <w:noProof w:val="0"/>
          <w:sz w:val="24"/>
          <w:szCs w:val="24"/>
          <w:lang w:val="en-US"/>
        </w:rPr>
        <w:t xml:space="preserve">: </w:t>
      </w:r>
      <w:r w:rsidR="000B7776" w:rsidRPr="000028B6">
        <w:rPr>
          <w:rFonts w:ascii="Times New Roman" w:hAnsi="Times New Roman" w:cs="Times New Roman"/>
          <w:noProof w:val="0"/>
          <w:sz w:val="24"/>
          <w:szCs w:val="24"/>
          <w:lang w:val="en-US"/>
        </w:rPr>
        <w:t>5</w:t>
      </w:r>
      <w:r w:rsidRPr="000028B6">
        <w:rPr>
          <w:rFonts w:ascii="Times New Roman" w:hAnsi="Times New Roman" w:cs="Times New Roman"/>
          <w:noProof w:val="0"/>
          <w:sz w:val="24"/>
          <w:szCs w:val="24"/>
          <w:lang w:val="en-US"/>
        </w:rPr>
        <w:t>4</w:t>
      </w:r>
      <w:r w:rsidR="000B7776" w:rsidRPr="000028B6">
        <w:rPr>
          <w:rFonts w:ascii="Times New Roman" w:hAnsi="Times New Roman" w:cs="Times New Roman"/>
          <w:noProof w:val="0"/>
          <w:sz w:val="24"/>
          <w:szCs w:val="24"/>
          <w:lang w:val="en-US"/>
        </w:rPr>
        <w:t>-67</w:t>
      </w:r>
      <w:r w:rsidRPr="000028B6">
        <w:rPr>
          <w:rFonts w:ascii="Times New Roman" w:hAnsi="Times New Roman" w:cs="Times New Roman"/>
          <w:noProof w:val="0"/>
          <w:sz w:val="24"/>
          <w:szCs w:val="24"/>
          <w:lang w:val="en-US"/>
        </w:rPr>
        <w:t>.</w:t>
      </w:r>
    </w:p>
    <w:p w14:paraId="26388158" w14:textId="77777777"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Lauer SA, Grantz KH, Bi Q, et al. The incubation period of coronavirus disease 2019 (COVID-19) from publicly reported confirmed cases: estimation and application. Ann Intern Med. 2020; 172: 577-582.</w:t>
      </w:r>
    </w:p>
    <w:p w14:paraId="60C6C2EA" w14:textId="1268084F"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Pollán M, Pérez-Gómez B, Pastor-Barriuso R, et al. Prevalence of SARS-CoV-2 in Spain (ENE-COVID): a nationwide, population-based seroepidemiological study. Lancet</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396: 535-544.</w:t>
      </w:r>
    </w:p>
    <w:p w14:paraId="443082D1" w14:textId="3C13868E"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Lavezzo E, Franchin E, Ciavarella C, et al. Suppression of a SARS-CoV-2 outbreak in the Italian municipality of Vo’. Nature</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584: 425-429.</w:t>
      </w:r>
    </w:p>
    <w:p w14:paraId="141776C7" w14:textId="541DD6D8"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Gupta S, Hayek SS, Wang W, et al. Factors associated with death in critically ill patients with coronavirus disease 2019 in the US. JAMA Intern Med</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180: 1-12.</w:t>
      </w:r>
    </w:p>
    <w:p w14:paraId="63346484" w14:textId="1E2974CE"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Wiersinga WJ, Rhodes A, Cheng AC, et al. Pathophysiology, Transmission, Diagnosis, and Treatment of Coronavirus Disease 2019 (COVID-19): A Review. JAMA</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324: 782-793.</w:t>
      </w:r>
    </w:p>
    <w:p w14:paraId="6C010CF1" w14:textId="3772CB4B" w:rsidR="007135BF" w:rsidRPr="000028B6" w:rsidRDefault="007135B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sz w:val="24"/>
          <w:szCs w:val="24"/>
          <w:lang w:val="en-US"/>
        </w:rPr>
        <w:t xml:space="preserve">Blain H, Rolland Y, Benetos A, et al. Atypical clinical presentation of COVID‑19 infection in residents </w:t>
      </w:r>
      <w:r w:rsidRPr="000028B6">
        <w:rPr>
          <w:rFonts w:ascii="Times New Roman" w:hAnsi="Times New Roman" w:cs="Times New Roman"/>
          <w:noProof w:val="0"/>
          <w:color w:val="000000" w:themeColor="text1"/>
          <w:sz w:val="24"/>
          <w:szCs w:val="24"/>
          <w:lang w:val="en-US"/>
        </w:rPr>
        <w:t>of a long‑term care facility. Eur Geriatr Med</w:t>
      </w:r>
      <w:r w:rsidR="00857ADA" w:rsidRPr="000028B6">
        <w:rPr>
          <w:rFonts w:ascii="Times New Roman" w:hAnsi="Times New Roman" w:cs="Times New Roman"/>
          <w:noProof w:val="0"/>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 xml:space="preserve"> 2020; 11: 1085-1088.</w:t>
      </w:r>
    </w:p>
    <w:p w14:paraId="7751D393" w14:textId="77777777" w:rsidR="0099388F" w:rsidRPr="000028B6" w:rsidRDefault="0099388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Umakanthan S, Sahu P, Ranade AV, et al. Origin, transmission, diagnosis and management of coronavirus disease 2019 (COVID-19). Postgrad Med J. 2020; 96: 753-758.</w:t>
      </w:r>
    </w:p>
    <w:p w14:paraId="2C9B6708" w14:textId="15F51C78" w:rsidR="0099388F" w:rsidRPr="000028B6" w:rsidRDefault="0099388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lastRenderedPageBreak/>
        <w:t>Xie J, Tong Z, Guan X, et al. Critical care crisis and some recommendations during the COVID-19 epidemic in China. Intens Care Med. 2020; 46: 837-840.</w:t>
      </w:r>
    </w:p>
    <w:p w14:paraId="423298A4" w14:textId="5A027DA7" w:rsidR="0099388F" w:rsidRPr="000028B6" w:rsidRDefault="0099388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 xml:space="preserve">Mao L, Jin H, Wang M, et al. Neurological manifestation of hospitalized patients with coronavirus disease 2019 in Wuhan, China. JAMA Neurol. 2020;77: 683-690. </w:t>
      </w:r>
    </w:p>
    <w:p w14:paraId="7F5A7674" w14:textId="13EE90B8"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color w:val="000000" w:themeColor="text1"/>
          <w:sz w:val="24"/>
          <w:szCs w:val="24"/>
          <w:lang w:val="en-US"/>
        </w:rPr>
        <w:t xml:space="preserve">Helms J, Kremer </w:t>
      </w:r>
      <w:r w:rsidRPr="000028B6">
        <w:rPr>
          <w:rFonts w:ascii="Times New Roman" w:hAnsi="Times New Roman" w:cs="Times New Roman"/>
          <w:noProof w:val="0"/>
          <w:sz w:val="24"/>
          <w:szCs w:val="24"/>
          <w:lang w:val="en-US"/>
        </w:rPr>
        <w:t>S, Merdji H, et al. Neurologic features in severe SARS-CoV-2 infection. N Engl J Med</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382: 2268-2270.</w:t>
      </w:r>
    </w:p>
    <w:p w14:paraId="1EB43202" w14:textId="42329312" w:rsidR="00CF7B49" w:rsidRPr="000028B6" w:rsidRDefault="007135B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sz w:val="24"/>
          <w:szCs w:val="24"/>
          <w:lang w:val="en-US"/>
        </w:rPr>
        <w:t xml:space="preserve">Long B, Brady WJ, Koyfman A, et al. Cardiovascular complications in COVID-19. Am J Emerg </w:t>
      </w:r>
      <w:r w:rsidRPr="000028B6">
        <w:rPr>
          <w:rFonts w:ascii="Times New Roman" w:hAnsi="Times New Roman" w:cs="Times New Roman"/>
          <w:noProof w:val="0"/>
          <w:color w:val="000000" w:themeColor="text1"/>
          <w:sz w:val="24"/>
          <w:szCs w:val="24"/>
          <w:lang w:val="en-US"/>
        </w:rPr>
        <w:t>Med</w:t>
      </w:r>
      <w:r w:rsidR="00857ADA" w:rsidRPr="000028B6">
        <w:rPr>
          <w:rFonts w:ascii="Times New Roman" w:hAnsi="Times New Roman" w:cs="Times New Roman"/>
          <w:noProof w:val="0"/>
          <w:color w:val="000000" w:themeColor="text1"/>
          <w:sz w:val="24"/>
          <w:szCs w:val="24"/>
          <w:lang w:val="en-US"/>
        </w:rPr>
        <w:t>.</w:t>
      </w:r>
      <w:r w:rsidRPr="000028B6">
        <w:rPr>
          <w:rFonts w:ascii="Times New Roman" w:hAnsi="Times New Roman" w:cs="Times New Roman"/>
          <w:noProof w:val="0"/>
          <w:color w:val="000000" w:themeColor="text1"/>
          <w:sz w:val="24"/>
          <w:szCs w:val="24"/>
          <w:lang w:val="en-US"/>
        </w:rPr>
        <w:t xml:space="preserve"> 2020; 38: 1504-1507.</w:t>
      </w:r>
    </w:p>
    <w:p w14:paraId="1CBC87E2" w14:textId="77777777" w:rsidR="0099388F" w:rsidRPr="000028B6" w:rsidRDefault="0099388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Bouadma L, Lescure FX, Lucet JC, et al. Severe SARS-CoV-2 infections: practical considerations and management strategy for intensivists. Intens Care Med. 2020; 46: 579–582.</w:t>
      </w:r>
    </w:p>
    <w:p w14:paraId="3EB24330" w14:textId="20DB6B9F"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Kucirka LM, Lauer SA, Laeyendecker O, </w:t>
      </w:r>
      <w:r w:rsidR="00857ADA" w:rsidRPr="000028B6">
        <w:rPr>
          <w:rFonts w:ascii="Times New Roman" w:hAnsi="Times New Roman" w:cs="Times New Roman"/>
          <w:noProof w:val="0"/>
          <w:sz w:val="24"/>
          <w:szCs w:val="24"/>
          <w:lang w:val="en-US"/>
        </w:rPr>
        <w:t>et al</w:t>
      </w:r>
      <w:r w:rsidRPr="000028B6">
        <w:rPr>
          <w:rFonts w:ascii="Times New Roman" w:hAnsi="Times New Roman" w:cs="Times New Roman"/>
          <w:noProof w:val="0"/>
          <w:sz w:val="24"/>
          <w:szCs w:val="24"/>
          <w:lang w:val="en-US"/>
        </w:rPr>
        <w:t xml:space="preserve">. Variation in </w:t>
      </w:r>
      <w:r w:rsidR="00857ADA" w:rsidRPr="000028B6">
        <w:rPr>
          <w:rFonts w:ascii="Times New Roman" w:hAnsi="Times New Roman" w:cs="Times New Roman"/>
          <w:noProof w:val="0"/>
          <w:sz w:val="24"/>
          <w:szCs w:val="24"/>
          <w:lang w:val="en-US"/>
        </w:rPr>
        <w:t>false-n</w:t>
      </w:r>
      <w:r w:rsidRPr="000028B6">
        <w:rPr>
          <w:rFonts w:ascii="Times New Roman" w:hAnsi="Times New Roman" w:cs="Times New Roman"/>
          <w:noProof w:val="0"/>
          <w:sz w:val="24"/>
          <w:szCs w:val="24"/>
          <w:lang w:val="en-US"/>
        </w:rPr>
        <w:t xml:space="preserve">egative </w:t>
      </w:r>
      <w:r w:rsidR="00857ADA" w:rsidRPr="000028B6">
        <w:rPr>
          <w:rFonts w:ascii="Times New Roman" w:hAnsi="Times New Roman" w:cs="Times New Roman"/>
          <w:noProof w:val="0"/>
          <w:sz w:val="24"/>
          <w:szCs w:val="24"/>
          <w:lang w:val="en-US"/>
        </w:rPr>
        <w:t>r</w:t>
      </w:r>
      <w:r w:rsidRPr="000028B6">
        <w:rPr>
          <w:rFonts w:ascii="Times New Roman" w:hAnsi="Times New Roman" w:cs="Times New Roman"/>
          <w:noProof w:val="0"/>
          <w:sz w:val="24"/>
          <w:szCs w:val="24"/>
          <w:lang w:val="en-US"/>
        </w:rPr>
        <w:t xml:space="preserve">ate of </w:t>
      </w:r>
      <w:r w:rsidR="00857ADA" w:rsidRPr="000028B6">
        <w:rPr>
          <w:rFonts w:ascii="Times New Roman" w:hAnsi="Times New Roman" w:cs="Times New Roman"/>
          <w:noProof w:val="0"/>
          <w:sz w:val="24"/>
          <w:szCs w:val="24"/>
          <w:lang w:val="en-US"/>
        </w:rPr>
        <w:t>reverse t</w:t>
      </w:r>
      <w:r w:rsidRPr="000028B6">
        <w:rPr>
          <w:rFonts w:ascii="Times New Roman" w:hAnsi="Times New Roman" w:cs="Times New Roman"/>
          <w:noProof w:val="0"/>
          <w:sz w:val="24"/>
          <w:szCs w:val="24"/>
          <w:lang w:val="en-US"/>
        </w:rPr>
        <w:t xml:space="preserve">ranscriptase </w:t>
      </w:r>
      <w:r w:rsidR="00857ADA" w:rsidRPr="000028B6">
        <w:rPr>
          <w:rFonts w:ascii="Times New Roman" w:hAnsi="Times New Roman" w:cs="Times New Roman"/>
          <w:noProof w:val="0"/>
          <w:sz w:val="24"/>
          <w:szCs w:val="24"/>
          <w:lang w:val="en-US"/>
        </w:rPr>
        <w:t>p</w:t>
      </w:r>
      <w:r w:rsidRPr="000028B6">
        <w:rPr>
          <w:rFonts w:ascii="Times New Roman" w:hAnsi="Times New Roman" w:cs="Times New Roman"/>
          <w:noProof w:val="0"/>
          <w:sz w:val="24"/>
          <w:szCs w:val="24"/>
          <w:lang w:val="en-US"/>
        </w:rPr>
        <w:t xml:space="preserve">olymerase </w:t>
      </w:r>
      <w:r w:rsidR="00857ADA" w:rsidRPr="000028B6">
        <w:rPr>
          <w:rFonts w:ascii="Times New Roman" w:hAnsi="Times New Roman" w:cs="Times New Roman"/>
          <w:noProof w:val="0"/>
          <w:sz w:val="24"/>
          <w:szCs w:val="24"/>
          <w:lang w:val="en-US"/>
        </w:rPr>
        <w:t>c</w:t>
      </w:r>
      <w:r w:rsidRPr="000028B6">
        <w:rPr>
          <w:rFonts w:ascii="Times New Roman" w:hAnsi="Times New Roman" w:cs="Times New Roman"/>
          <w:noProof w:val="0"/>
          <w:sz w:val="24"/>
          <w:szCs w:val="24"/>
          <w:lang w:val="en-US"/>
        </w:rPr>
        <w:t xml:space="preserve">hain </w:t>
      </w:r>
      <w:r w:rsidR="00857ADA" w:rsidRPr="000028B6">
        <w:rPr>
          <w:rFonts w:ascii="Times New Roman" w:hAnsi="Times New Roman" w:cs="Times New Roman"/>
          <w:noProof w:val="0"/>
          <w:sz w:val="24"/>
          <w:szCs w:val="24"/>
          <w:lang w:val="en-US"/>
        </w:rPr>
        <w:t>r</w:t>
      </w:r>
      <w:r w:rsidRPr="000028B6">
        <w:rPr>
          <w:rFonts w:ascii="Times New Roman" w:hAnsi="Times New Roman" w:cs="Times New Roman"/>
          <w:noProof w:val="0"/>
          <w:sz w:val="24"/>
          <w:szCs w:val="24"/>
          <w:lang w:val="en-US"/>
        </w:rPr>
        <w:t>eaction-</w:t>
      </w:r>
      <w:r w:rsidR="00857ADA" w:rsidRPr="000028B6">
        <w:rPr>
          <w:rFonts w:ascii="Times New Roman" w:hAnsi="Times New Roman" w:cs="Times New Roman"/>
          <w:noProof w:val="0"/>
          <w:sz w:val="24"/>
          <w:szCs w:val="24"/>
          <w:lang w:val="en-US"/>
        </w:rPr>
        <w:t>b</w:t>
      </w:r>
      <w:r w:rsidRPr="000028B6">
        <w:rPr>
          <w:rFonts w:ascii="Times New Roman" w:hAnsi="Times New Roman" w:cs="Times New Roman"/>
          <w:noProof w:val="0"/>
          <w:sz w:val="24"/>
          <w:szCs w:val="24"/>
          <w:lang w:val="en-US"/>
        </w:rPr>
        <w:t xml:space="preserve">ased SARS-CoV-2 </w:t>
      </w:r>
      <w:r w:rsidR="00857ADA" w:rsidRPr="000028B6">
        <w:rPr>
          <w:rFonts w:ascii="Times New Roman" w:hAnsi="Times New Roman" w:cs="Times New Roman"/>
          <w:noProof w:val="0"/>
          <w:sz w:val="24"/>
          <w:szCs w:val="24"/>
          <w:lang w:val="en-US"/>
        </w:rPr>
        <w:t>t</w:t>
      </w:r>
      <w:r w:rsidRPr="000028B6">
        <w:rPr>
          <w:rFonts w:ascii="Times New Roman" w:hAnsi="Times New Roman" w:cs="Times New Roman"/>
          <w:noProof w:val="0"/>
          <w:sz w:val="24"/>
          <w:szCs w:val="24"/>
          <w:lang w:val="en-US"/>
        </w:rPr>
        <w:t xml:space="preserve">ests by </w:t>
      </w:r>
      <w:r w:rsidR="00857ADA" w:rsidRPr="000028B6">
        <w:rPr>
          <w:rFonts w:ascii="Times New Roman" w:hAnsi="Times New Roman" w:cs="Times New Roman"/>
          <w:noProof w:val="0"/>
          <w:sz w:val="24"/>
          <w:szCs w:val="24"/>
          <w:lang w:val="en-US"/>
        </w:rPr>
        <w:t>t</w:t>
      </w:r>
      <w:r w:rsidRPr="000028B6">
        <w:rPr>
          <w:rFonts w:ascii="Times New Roman" w:hAnsi="Times New Roman" w:cs="Times New Roman"/>
          <w:noProof w:val="0"/>
          <w:sz w:val="24"/>
          <w:szCs w:val="24"/>
          <w:lang w:val="en-US"/>
        </w:rPr>
        <w:t xml:space="preserve">ime </w:t>
      </w:r>
      <w:r w:rsidR="00857ADA" w:rsidRPr="000028B6">
        <w:rPr>
          <w:rFonts w:ascii="Times New Roman" w:hAnsi="Times New Roman" w:cs="Times New Roman"/>
          <w:noProof w:val="0"/>
          <w:sz w:val="24"/>
          <w:szCs w:val="24"/>
          <w:lang w:val="en-US"/>
        </w:rPr>
        <w:t>s</w:t>
      </w:r>
      <w:r w:rsidRPr="000028B6">
        <w:rPr>
          <w:rFonts w:ascii="Times New Roman" w:hAnsi="Times New Roman" w:cs="Times New Roman"/>
          <w:noProof w:val="0"/>
          <w:sz w:val="24"/>
          <w:szCs w:val="24"/>
          <w:lang w:val="en-US"/>
        </w:rPr>
        <w:t xml:space="preserve">ince </w:t>
      </w:r>
      <w:r w:rsidR="00857ADA" w:rsidRPr="000028B6">
        <w:rPr>
          <w:rFonts w:ascii="Times New Roman" w:hAnsi="Times New Roman" w:cs="Times New Roman"/>
          <w:noProof w:val="0"/>
          <w:sz w:val="24"/>
          <w:szCs w:val="24"/>
          <w:lang w:val="en-US"/>
        </w:rPr>
        <w:t>e</w:t>
      </w:r>
      <w:r w:rsidRPr="000028B6">
        <w:rPr>
          <w:rFonts w:ascii="Times New Roman" w:hAnsi="Times New Roman" w:cs="Times New Roman"/>
          <w:noProof w:val="0"/>
          <w:sz w:val="24"/>
          <w:szCs w:val="24"/>
          <w:lang w:val="en-US"/>
        </w:rPr>
        <w:t>xposure. Ann Intern Med. 2020;</w:t>
      </w:r>
      <w:r w:rsidR="00857ADA"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173:</w:t>
      </w:r>
      <w:r w:rsidR="00857ADA"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262-267. </w:t>
      </w:r>
    </w:p>
    <w:p w14:paraId="57C86E90" w14:textId="374DE698"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World Health Organization. Laboratory testing for coronavirus disease (‎‎COVID-19)‎‎ in suspected human cases: interim guidance. </w:t>
      </w:r>
      <w:r w:rsidR="00857ADA" w:rsidRPr="000028B6">
        <w:rPr>
          <w:rFonts w:ascii="Times New Roman" w:hAnsi="Times New Roman" w:cs="Times New Roman"/>
          <w:noProof w:val="0"/>
          <w:sz w:val="24"/>
          <w:szCs w:val="24"/>
          <w:lang w:val="en-US"/>
        </w:rPr>
        <w:t>https://apps.who.int/iris/handle/10665/331501</w:t>
      </w:r>
      <w:r w:rsidRPr="000028B6">
        <w:rPr>
          <w:rFonts w:ascii="Times New Roman" w:hAnsi="Times New Roman" w:cs="Times New Roman"/>
          <w:noProof w:val="0"/>
          <w:sz w:val="24"/>
          <w:szCs w:val="24"/>
          <w:lang w:val="en-US"/>
        </w:rPr>
        <w:t>.</w:t>
      </w:r>
      <w:r w:rsidR="00857ADA" w:rsidRPr="000028B6">
        <w:rPr>
          <w:rFonts w:ascii="Times New Roman" w:hAnsi="Times New Roman" w:cs="Times New Roman"/>
          <w:noProof w:val="0"/>
          <w:sz w:val="24"/>
          <w:szCs w:val="24"/>
          <w:lang w:val="en-US"/>
        </w:rPr>
        <w:t xml:space="preserve"> Accessed April 2, 2021.</w:t>
      </w:r>
    </w:p>
    <w:p w14:paraId="3F467A41" w14:textId="485FD552" w:rsidR="007135BF" w:rsidRPr="000028B6" w:rsidRDefault="00857ADA"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European Centre for Disease Prevention and Control. Options for the use of rapid antigen tests for COVID-19 in the EU/EEA and the UK. </w:t>
      </w:r>
      <w:r w:rsidRPr="000028B6">
        <w:rPr>
          <w:rFonts w:ascii="Times New Roman" w:hAnsi="Times New Roman" w:cs="Times New Roman"/>
          <w:noProof w:val="0"/>
          <w:sz w:val="24"/>
          <w:szCs w:val="24"/>
          <w:lang w:val="en-GB"/>
        </w:rPr>
        <w:t xml:space="preserve">https://www.ecdc.europa.eu/en/publications-data/options-use-rapid-antigen-tests-covid-19-eueea-and-uk. </w:t>
      </w:r>
      <w:r w:rsidRPr="000028B6">
        <w:rPr>
          <w:rFonts w:ascii="Times New Roman" w:hAnsi="Times New Roman" w:cs="Times New Roman"/>
          <w:noProof w:val="0"/>
          <w:sz w:val="24"/>
          <w:szCs w:val="24"/>
          <w:lang w:val="en-US"/>
        </w:rPr>
        <w:t>Accessed April 2, 2021.</w:t>
      </w:r>
    </w:p>
    <w:p w14:paraId="454EE536" w14:textId="2E8D33ED"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World Health Organization. Antigen-detection in the diagnosis of SARS CoV-2 infectios using rapid immunoassays. Interim guidance 11.09.2020</w:t>
      </w:r>
      <w:r w:rsidR="00857ADA" w:rsidRPr="000028B6">
        <w:rPr>
          <w:rFonts w:ascii="Times New Roman" w:hAnsi="Times New Roman" w:cs="Times New Roman"/>
          <w:noProof w:val="0"/>
          <w:sz w:val="24"/>
          <w:szCs w:val="24"/>
          <w:lang w:val="en-US"/>
        </w:rPr>
        <w:t>. https://www.who.int/emergencies/diseases/novel-coronavirus-2019/serology-in-the-context-of-covid-19. Accessed April 2, 2021.</w:t>
      </w:r>
    </w:p>
    <w:p w14:paraId="56F27F1D" w14:textId="30D64670" w:rsidR="00792B35" w:rsidRPr="000028B6" w:rsidRDefault="00792B35"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Castillo ME, Costa L</w:t>
      </w:r>
      <w:r w:rsidR="00857ADA" w:rsidRPr="000028B6">
        <w:rPr>
          <w:rFonts w:ascii="Times New Roman" w:hAnsi="Times New Roman" w:cs="Times New Roman"/>
          <w:noProof w:val="0"/>
          <w:sz w:val="24"/>
          <w:szCs w:val="24"/>
          <w:lang w:val="en-US"/>
        </w:rPr>
        <w:t>M</w:t>
      </w:r>
      <w:r w:rsidRPr="000028B6">
        <w:rPr>
          <w:rFonts w:ascii="Times New Roman" w:hAnsi="Times New Roman" w:cs="Times New Roman"/>
          <w:noProof w:val="0"/>
          <w:sz w:val="24"/>
          <w:szCs w:val="24"/>
          <w:lang w:val="en-US"/>
        </w:rPr>
        <w:t>E, Barrios J</w:t>
      </w:r>
      <w:r w:rsidR="00857ADA" w:rsidRPr="000028B6">
        <w:rPr>
          <w:rFonts w:ascii="Times New Roman" w:hAnsi="Times New Roman" w:cs="Times New Roman"/>
          <w:noProof w:val="0"/>
          <w:sz w:val="24"/>
          <w:szCs w:val="24"/>
          <w:lang w:val="en-US"/>
        </w:rPr>
        <w:t>M</w:t>
      </w:r>
      <w:r w:rsidRPr="000028B6">
        <w:rPr>
          <w:rFonts w:ascii="Times New Roman" w:hAnsi="Times New Roman" w:cs="Times New Roman"/>
          <w:noProof w:val="0"/>
          <w:sz w:val="24"/>
          <w:szCs w:val="24"/>
          <w:lang w:val="en-US"/>
        </w:rPr>
        <w:t>V</w:t>
      </w:r>
      <w:r w:rsidR="00857ADA"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et al. Effect of calcifediol treatment and best available therapy versusbest available therapy on intensive care unit admission and mortality among patients hospitalized for COVID-19: A pilot randomized clinical study. </w:t>
      </w:r>
      <w:r w:rsidR="002007AE" w:rsidRPr="000028B6">
        <w:rPr>
          <w:rFonts w:ascii="Times New Roman" w:hAnsi="Times New Roman" w:cs="Times New Roman"/>
          <w:noProof w:val="0"/>
          <w:sz w:val="24"/>
          <w:szCs w:val="24"/>
          <w:lang w:val="en-US"/>
        </w:rPr>
        <w:t>J Steroid Biochem Mol Biol. 2020; 203: 105751.</w:t>
      </w:r>
    </w:p>
    <w:p w14:paraId="662AFB75" w14:textId="77777777" w:rsidR="000028B6" w:rsidRPr="000028B6" w:rsidRDefault="000028B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Ramakrishnan S, Nicolau Jr DV, Langford B, et al. Inhaled budesonide in the treatment of early COVID-19 (STOIC): a phase 2, open-label, randomised controlled trial. Lancet Respir Med. 2021. doi.org/10.1016/S2213-2600(21)00160-0. Online ahead of print.</w:t>
      </w:r>
    </w:p>
    <w:p w14:paraId="30036C27" w14:textId="7E2B8219" w:rsidR="00792B35" w:rsidRPr="000028B6" w:rsidRDefault="00792B35"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Shi C, Wang C, Wang H, </w:t>
      </w:r>
      <w:r w:rsidR="002007AE" w:rsidRPr="000028B6">
        <w:rPr>
          <w:rFonts w:ascii="Times New Roman" w:hAnsi="Times New Roman" w:cs="Times New Roman"/>
          <w:noProof w:val="0"/>
          <w:sz w:val="24"/>
          <w:szCs w:val="24"/>
          <w:lang w:val="en-US"/>
        </w:rPr>
        <w:t>et al</w:t>
      </w:r>
      <w:r w:rsidRPr="000028B6">
        <w:rPr>
          <w:rFonts w:ascii="Times New Roman" w:hAnsi="Times New Roman" w:cs="Times New Roman"/>
          <w:noProof w:val="0"/>
          <w:sz w:val="24"/>
          <w:szCs w:val="24"/>
          <w:lang w:val="en-US"/>
        </w:rPr>
        <w:t xml:space="preserve">. Clinical observations of low molecular weight heparin in relieving inflammation in COVID-19 patients: A retrospective cohort study. </w:t>
      </w:r>
      <w:r w:rsidR="002007AE" w:rsidRPr="000028B6">
        <w:rPr>
          <w:rFonts w:ascii="Times New Roman" w:hAnsi="Times New Roman" w:cs="Times New Roman"/>
          <w:noProof w:val="0"/>
          <w:sz w:val="24"/>
          <w:szCs w:val="24"/>
          <w:lang w:val="en-US"/>
        </w:rPr>
        <w:t>medRxiv 2020.03.28.20046144.</w:t>
      </w:r>
      <w:r w:rsidRPr="000028B6">
        <w:rPr>
          <w:rFonts w:ascii="Times New Roman" w:hAnsi="Times New Roman" w:cs="Times New Roman"/>
          <w:noProof w:val="0"/>
          <w:sz w:val="24"/>
          <w:szCs w:val="24"/>
          <w:lang w:val="en-US"/>
        </w:rPr>
        <w:t xml:space="preserve"> </w:t>
      </w:r>
    </w:p>
    <w:p w14:paraId="0E58EE3C" w14:textId="070E8FAC" w:rsidR="00792B35" w:rsidRPr="000028B6" w:rsidRDefault="00792B35"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Tang</w:t>
      </w:r>
      <w:r w:rsidR="002007AE" w:rsidRPr="000028B6">
        <w:rPr>
          <w:rFonts w:ascii="Times New Roman" w:hAnsi="Times New Roman" w:cs="Times New Roman"/>
          <w:noProof w:val="0"/>
          <w:sz w:val="24"/>
          <w:szCs w:val="24"/>
          <w:lang w:val="en-US"/>
        </w:rPr>
        <w:t xml:space="preserve"> N</w:t>
      </w:r>
      <w:r w:rsidRPr="000028B6">
        <w:rPr>
          <w:rFonts w:ascii="Times New Roman" w:hAnsi="Times New Roman" w:cs="Times New Roman"/>
          <w:noProof w:val="0"/>
          <w:sz w:val="24"/>
          <w:szCs w:val="24"/>
          <w:lang w:val="en-US"/>
        </w:rPr>
        <w:t>, Bai</w:t>
      </w:r>
      <w:r w:rsidR="002007AE" w:rsidRPr="000028B6">
        <w:rPr>
          <w:rFonts w:ascii="Times New Roman" w:hAnsi="Times New Roman" w:cs="Times New Roman"/>
          <w:noProof w:val="0"/>
          <w:sz w:val="24"/>
          <w:szCs w:val="24"/>
          <w:lang w:val="en-US"/>
        </w:rPr>
        <w:t xml:space="preserve"> H</w:t>
      </w:r>
      <w:r w:rsidRPr="000028B6">
        <w:rPr>
          <w:rFonts w:ascii="Times New Roman" w:hAnsi="Times New Roman" w:cs="Times New Roman"/>
          <w:noProof w:val="0"/>
          <w:sz w:val="24"/>
          <w:szCs w:val="24"/>
          <w:lang w:val="en-US"/>
        </w:rPr>
        <w:t xml:space="preserve">, Chen X, </w:t>
      </w:r>
      <w:r w:rsidR="002007AE" w:rsidRPr="000028B6">
        <w:rPr>
          <w:rFonts w:ascii="Times New Roman" w:hAnsi="Times New Roman" w:cs="Times New Roman"/>
          <w:noProof w:val="0"/>
          <w:sz w:val="24"/>
          <w:szCs w:val="24"/>
          <w:lang w:val="en-US"/>
        </w:rPr>
        <w:t>et al.</w:t>
      </w:r>
      <w:r w:rsidRPr="000028B6">
        <w:rPr>
          <w:rFonts w:ascii="Times New Roman" w:hAnsi="Times New Roman" w:cs="Times New Roman"/>
          <w:noProof w:val="0"/>
          <w:sz w:val="24"/>
          <w:szCs w:val="24"/>
          <w:lang w:val="en-US"/>
        </w:rPr>
        <w:t xml:space="preserve"> Anticoagulant treatment is associated with decreased mortality in severe coronavirus disease 2019 patients with coagulopathy. J Thromb Haemost.</w:t>
      </w:r>
      <w:r w:rsidR="002007AE" w:rsidRPr="000028B6">
        <w:rPr>
          <w:rFonts w:ascii="Times New Roman" w:hAnsi="Times New Roman" w:cs="Times New Roman"/>
          <w:noProof w:val="0"/>
          <w:sz w:val="24"/>
          <w:szCs w:val="24"/>
          <w:lang w:val="en-US"/>
        </w:rPr>
        <w:t xml:space="preserve"> 2020;</w:t>
      </w:r>
      <w:r w:rsidRPr="000028B6">
        <w:rPr>
          <w:rFonts w:ascii="Times New Roman" w:hAnsi="Times New Roman" w:cs="Times New Roman"/>
          <w:noProof w:val="0"/>
          <w:sz w:val="24"/>
          <w:szCs w:val="24"/>
          <w:lang w:val="en-US"/>
        </w:rPr>
        <w:t xml:space="preserve"> 18:</w:t>
      </w:r>
      <w:r w:rsidR="002007AE"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1094-1099. </w:t>
      </w:r>
    </w:p>
    <w:p w14:paraId="04B83404" w14:textId="197D8404" w:rsidR="00792B35" w:rsidRPr="000028B6" w:rsidRDefault="002007AE"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Ayerbe L, Risco C, Ayis S</w:t>
      </w:r>
      <w:r w:rsidR="00792B35" w:rsidRPr="000028B6">
        <w:rPr>
          <w:rFonts w:ascii="Times New Roman" w:hAnsi="Times New Roman" w:cs="Times New Roman"/>
          <w:noProof w:val="0"/>
          <w:sz w:val="24"/>
          <w:szCs w:val="24"/>
          <w:lang w:val="en-US"/>
        </w:rPr>
        <w:t xml:space="preserve">. The association between treatment with heparin and survival in patients with Covid-19. </w:t>
      </w:r>
      <w:r w:rsidRPr="000028B6">
        <w:rPr>
          <w:rFonts w:ascii="Times New Roman" w:hAnsi="Times New Roman" w:cs="Times New Roman"/>
          <w:noProof w:val="0"/>
          <w:sz w:val="24"/>
          <w:szCs w:val="24"/>
          <w:lang w:val="en-US"/>
        </w:rPr>
        <w:t>J Thromb Thrombolysis</w:t>
      </w:r>
      <w:r w:rsidR="00792B35" w:rsidRPr="000028B6">
        <w:rPr>
          <w:rFonts w:ascii="Times New Roman" w:hAnsi="Times New Roman" w:cs="Times New Roman"/>
          <w:noProof w:val="0"/>
          <w:sz w:val="24"/>
          <w:szCs w:val="24"/>
          <w:lang w:val="en-US"/>
        </w:rPr>
        <w:t>. 2020</w:t>
      </w:r>
      <w:r w:rsidRPr="000028B6">
        <w:rPr>
          <w:rFonts w:ascii="Times New Roman" w:hAnsi="Times New Roman" w:cs="Times New Roman"/>
          <w:noProof w:val="0"/>
          <w:sz w:val="24"/>
          <w:szCs w:val="24"/>
          <w:lang w:val="en-US"/>
        </w:rPr>
        <w:t>;</w:t>
      </w:r>
      <w:r w:rsidR="00792B35"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 xml:space="preserve">50: </w:t>
      </w:r>
      <w:r w:rsidR="00792B35" w:rsidRPr="000028B6">
        <w:rPr>
          <w:rFonts w:ascii="Times New Roman" w:hAnsi="Times New Roman" w:cs="Times New Roman"/>
          <w:noProof w:val="0"/>
          <w:sz w:val="24"/>
          <w:szCs w:val="24"/>
          <w:lang w:val="en-US"/>
        </w:rPr>
        <w:t>298-3</w:t>
      </w:r>
      <w:r w:rsidRPr="000028B6">
        <w:rPr>
          <w:rFonts w:ascii="Times New Roman" w:hAnsi="Times New Roman" w:cs="Times New Roman"/>
          <w:noProof w:val="0"/>
          <w:sz w:val="24"/>
          <w:szCs w:val="24"/>
          <w:lang w:val="en-US"/>
        </w:rPr>
        <w:t>01.</w:t>
      </w:r>
    </w:p>
    <w:p w14:paraId="5717216B" w14:textId="1CA0866F" w:rsidR="00EF6F00" w:rsidRPr="000028B6" w:rsidRDefault="00EF6F00"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Salah HM, Mehta JL. Meta-Analysis of the Effect of Aspirin on Mortality in COVID-19. Am J Cardiol. 2021; 142: 158–159. </w:t>
      </w:r>
    </w:p>
    <w:p w14:paraId="063D9401" w14:textId="03639201" w:rsidR="004A6F10" w:rsidRPr="000028B6" w:rsidRDefault="00317199"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Goldman JD, Lye DCB, Hui DS, et al. Remdesivir for 5 or 10 days in patients with severe Covid‑19. N Engl J </w:t>
      </w:r>
      <w:r w:rsidR="000B7776" w:rsidRPr="000028B6">
        <w:rPr>
          <w:rFonts w:ascii="Times New Roman" w:hAnsi="Times New Roman" w:cs="Times New Roman"/>
          <w:noProof w:val="0"/>
          <w:sz w:val="24"/>
          <w:szCs w:val="24"/>
          <w:lang w:val="en-US"/>
        </w:rPr>
        <w:t>Med</w:t>
      </w:r>
      <w:r w:rsidR="009B0DF7" w:rsidRPr="000028B6">
        <w:rPr>
          <w:rFonts w:ascii="Times New Roman" w:hAnsi="Times New Roman" w:cs="Times New Roman"/>
          <w:noProof w:val="0"/>
          <w:sz w:val="24"/>
          <w:szCs w:val="24"/>
          <w:lang w:val="en-US"/>
        </w:rPr>
        <w:t>.</w:t>
      </w:r>
      <w:r w:rsidR="000B7776" w:rsidRPr="000028B6">
        <w:rPr>
          <w:rFonts w:ascii="Times New Roman" w:hAnsi="Times New Roman" w:cs="Times New Roman"/>
          <w:noProof w:val="0"/>
          <w:sz w:val="24"/>
          <w:szCs w:val="24"/>
          <w:lang w:val="en-US"/>
        </w:rPr>
        <w:t xml:space="preserve"> 2020; 383: 1827-1837</w:t>
      </w:r>
      <w:r w:rsidR="009B0DF7" w:rsidRPr="000028B6">
        <w:rPr>
          <w:rFonts w:ascii="Times New Roman" w:hAnsi="Times New Roman" w:cs="Times New Roman"/>
          <w:noProof w:val="0"/>
          <w:sz w:val="24"/>
          <w:szCs w:val="24"/>
          <w:lang w:val="en-US"/>
        </w:rPr>
        <w:t>.</w:t>
      </w:r>
    </w:p>
    <w:p w14:paraId="6DAC2223" w14:textId="5459707F" w:rsidR="007135BF" w:rsidRPr="000028B6" w:rsidRDefault="007135BF"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Veklury – summary of product characteristics. https://www.ema.europa.eu/en/documents/product‑information/veklury‑epar‑product‑information_pl.pdf. Accessed March 31, 2021.</w:t>
      </w:r>
    </w:p>
    <w:p w14:paraId="4A121AF1" w14:textId="7E2AB4BF" w:rsidR="00254032" w:rsidRPr="000028B6" w:rsidRDefault="00254032"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Moniuszko-Malinowska A, Czupryna P, Zarębska-Michaluk D</w:t>
      </w:r>
      <w:r w:rsidR="000B7776" w:rsidRPr="000028B6">
        <w:rPr>
          <w:rFonts w:ascii="Times New Roman" w:hAnsi="Times New Roman" w:cs="Times New Roman"/>
          <w:noProof w:val="0"/>
          <w:sz w:val="24"/>
          <w:szCs w:val="24"/>
        </w:rPr>
        <w:t>, et al</w:t>
      </w:r>
      <w:r w:rsidRPr="000028B6">
        <w:rPr>
          <w:rFonts w:ascii="Times New Roman" w:hAnsi="Times New Roman" w:cs="Times New Roman"/>
          <w:noProof w:val="0"/>
          <w:sz w:val="24"/>
          <w:szCs w:val="24"/>
        </w:rPr>
        <w:t xml:space="preserve">. </w:t>
      </w:r>
      <w:r w:rsidRPr="000028B6">
        <w:rPr>
          <w:rFonts w:ascii="Times New Roman" w:hAnsi="Times New Roman" w:cs="Times New Roman"/>
          <w:noProof w:val="0"/>
          <w:sz w:val="24"/>
          <w:szCs w:val="24"/>
          <w:lang w:val="en-US"/>
        </w:rPr>
        <w:t>Convalescent plasma transfusion for the treatment of COVID-19-experience from Poland: a multicenter Study. J Clin Med. 2020; 10: E28.</w:t>
      </w:r>
    </w:p>
    <w:p w14:paraId="37E3A46C" w14:textId="592B52E4" w:rsidR="00777BA0" w:rsidRPr="000028B6" w:rsidRDefault="00254032" w:rsidP="000028B6">
      <w:pPr>
        <w:pStyle w:val="Akapitzlist"/>
        <w:numPr>
          <w:ilvl w:val="0"/>
          <w:numId w:val="16"/>
        </w:numPr>
        <w:spacing w:line="480" w:lineRule="auto"/>
        <w:ind w:left="360"/>
        <w:rPr>
          <w:rFonts w:ascii="Times New Roman" w:hAnsi="Times New Roman" w:cs="Times New Roman"/>
          <w:noProof w:val="0"/>
          <w:sz w:val="24"/>
          <w:szCs w:val="24"/>
          <w:lang w:val="en-US"/>
        </w:rPr>
      </w:pPr>
      <w:bookmarkStart w:id="0" w:name="_Hlk67842865"/>
      <w:r w:rsidRPr="000028B6">
        <w:rPr>
          <w:rFonts w:ascii="Times New Roman" w:hAnsi="Times New Roman" w:cs="Times New Roman"/>
          <w:noProof w:val="0"/>
          <w:sz w:val="24"/>
          <w:szCs w:val="24"/>
        </w:rPr>
        <w:lastRenderedPageBreak/>
        <w:t xml:space="preserve">Flisiak R, Jaroszewicz J, Rogalska M, et al. </w:t>
      </w:r>
      <w:r w:rsidR="00777BA0" w:rsidRPr="000028B6">
        <w:rPr>
          <w:rFonts w:ascii="Times New Roman" w:hAnsi="Times New Roman" w:cs="Times New Roman"/>
          <w:noProof w:val="0"/>
          <w:sz w:val="24"/>
          <w:szCs w:val="24"/>
          <w:lang w:val="en-US"/>
        </w:rPr>
        <w:t>Tocilizumab improves the prognosis of COVID-19 in patients with high IL-6. J Clin Med. 2021; 10, 1583.</w:t>
      </w:r>
      <w:bookmarkEnd w:id="0"/>
    </w:p>
    <w:p w14:paraId="11BC92D3" w14:textId="288CAD5D" w:rsidR="00317199" w:rsidRPr="000028B6" w:rsidRDefault="00317199"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RoActemra – summary of product characteristics. https://www.ema.europa.eu/en/documents/product‑information/roactemra‑epar‑product‑information_pl.pdf. Accessed March 31, 2021.</w:t>
      </w:r>
    </w:p>
    <w:p w14:paraId="78F0AACB" w14:textId="141CA689" w:rsidR="00E37E16" w:rsidRPr="000028B6" w:rsidRDefault="00E37E1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Wujtewicz MA, Dylczyk-Sommer A, Aszkiełowicz A, et al. </w:t>
      </w:r>
      <w:r w:rsidRPr="000028B6">
        <w:rPr>
          <w:rFonts w:ascii="Times New Roman" w:hAnsi="Times New Roman" w:cs="Times New Roman"/>
          <w:noProof w:val="0"/>
          <w:sz w:val="24"/>
          <w:szCs w:val="24"/>
          <w:lang w:val="en-US"/>
        </w:rPr>
        <w:t>COVID-19 – what should anaethesiologists and intensivists know about it? Anaesthesiol Intensive Ther. 2020; 52: 34-41.</w:t>
      </w:r>
    </w:p>
    <w:p w14:paraId="25288AF9" w14:textId="117E9516" w:rsidR="007135BF" w:rsidRPr="000028B6" w:rsidRDefault="007135B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rPr>
      </w:pPr>
      <w:r w:rsidRPr="000028B6">
        <w:rPr>
          <w:rFonts w:ascii="Times New Roman" w:hAnsi="Times New Roman" w:cs="Times New Roman"/>
          <w:noProof w:val="0"/>
          <w:sz w:val="24"/>
          <w:szCs w:val="24"/>
        </w:rPr>
        <w:t xml:space="preserve">Flisiak R. </w:t>
      </w:r>
      <w:r w:rsidR="00A344C8" w:rsidRPr="000028B6">
        <w:rPr>
          <w:rFonts w:ascii="Times New Roman" w:hAnsi="Times New Roman" w:cs="Times New Roman"/>
          <w:noProof w:val="0"/>
          <w:sz w:val="24"/>
          <w:szCs w:val="24"/>
        </w:rPr>
        <w:t>Mortality due to</w:t>
      </w:r>
      <w:r w:rsidRPr="000028B6">
        <w:rPr>
          <w:rFonts w:ascii="Times New Roman" w:hAnsi="Times New Roman" w:cs="Times New Roman"/>
          <w:noProof w:val="0"/>
          <w:sz w:val="24"/>
          <w:szCs w:val="24"/>
        </w:rPr>
        <w:t xml:space="preserve"> COVID-19</w:t>
      </w:r>
      <w:r w:rsidR="009B0DF7" w:rsidRPr="000028B6">
        <w:rPr>
          <w:rFonts w:ascii="Times New Roman" w:hAnsi="Times New Roman" w:cs="Times New Roman"/>
          <w:noProof w:val="0"/>
          <w:sz w:val="24"/>
          <w:szCs w:val="24"/>
        </w:rPr>
        <w:t xml:space="preserve">, </w:t>
      </w:r>
      <w:r w:rsidRPr="000028B6">
        <w:rPr>
          <w:rFonts w:ascii="Times New Roman" w:hAnsi="Times New Roman" w:cs="Times New Roman"/>
          <w:noProof w:val="0"/>
          <w:sz w:val="24"/>
          <w:szCs w:val="24"/>
        </w:rPr>
        <w:t>SARSTer</w:t>
      </w:r>
      <w:r w:rsidR="00A344C8" w:rsidRPr="000028B6">
        <w:rPr>
          <w:rFonts w:ascii="Times New Roman" w:hAnsi="Times New Roman" w:cs="Times New Roman"/>
          <w:noProof w:val="0"/>
          <w:sz w:val="24"/>
          <w:szCs w:val="24"/>
        </w:rPr>
        <w:t xml:space="preserve"> database</w:t>
      </w:r>
      <w:r w:rsidRPr="000028B6">
        <w:rPr>
          <w:rFonts w:ascii="Times New Roman" w:hAnsi="Times New Roman" w:cs="Times New Roman"/>
          <w:noProof w:val="0"/>
          <w:sz w:val="24"/>
          <w:szCs w:val="24"/>
        </w:rPr>
        <w:t xml:space="preserve">. http://www.pteilchz.org.pl/wp-content/uploads/2021/01/%C5%9Bmiertelno%C5%9B%C4%87-w-Polsce-26-01-2021.pdf. Accessed </w:t>
      </w:r>
      <w:r w:rsidRPr="000028B6">
        <w:rPr>
          <w:rFonts w:ascii="Times New Roman" w:hAnsi="Times New Roman" w:cs="Times New Roman"/>
          <w:noProof w:val="0"/>
          <w:color w:val="000000" w:themeColor="text1"/>
          <w:sz w:val="24"/>
          <w:szCs w:val="24"/>
        </w:rPr>
        <w:t>March 31, 2021.</w:t>
      </w:r>
    </w:p>
    <w:p w14:paraId="7B07A60C" w14:textId="7B56C304" w:rsidR="006956BD" w:rsidRPr="000028B6" w:rsidRDefault="006956BD"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Badulak</w:t>
      </w:r>
      <w:r w:rsidR="00E37E16" w:rsidRPr="000028B6">
        <w:rPr>
          <w:rFonts w:ascii="Times New Roman" w:hAnsi="Times New Roman" w:cs="Times New Roman"/>
          <w:noProof w:val="0"/>
          <w:color w:val="000000" w:themeColor="text1"/>
          <w:sz w:val="24"/>
          <w:szCs w:val="24"/>
          <w:lang w:val="en-US"/>
        </w:rPr>
        <w:t xml:space="preserve"> J, Antonini MV, Stead CM, </w:t>
      </w:r>
      <w:r w:rsidRPr="000028B6">
        <w:rPr>
          <w:rFonts w:ascii="Times New Roman" w:hAnsi="Times New Roman" w:cs="Times New Roman"/>
          <w:noProof w:val="0"/>
          <w:color w:val="000000" w:themeColor="text1"/>
          <w:sz w:val="24"/>
          <w:szCs w:val="24"/>
          <w:lang w:val="en-US"/>
        </w:rPr>
        <w:t xml:space="preserve">et al. </w:t>
      </w:r>
      <w:r w:rsidR="00E37E16" w:rsidRPr="000028B6">
        <w:rPr>
          <w:rFonts w:ascii="Times New Roman" w:hAnsi="Times New Roman" w:cs="Times New Roman"/>
          <w:noProof w:val="0"/>
          <w:color w:val="000000" w:themeColor="text1"/>
          <w:sz w:val="24"/>
          <w:szCs w:val="24"/>
          <w:lang w:val="en-US"/>
        </w:rPr>
        <w:t>CMO for COVID-19: Updated 2021 Guidelines from the Extracorporeal Life Support Organization (ELSO)</w:t>
      </w:r>
      <w:r w:rsidRPr="000028B6">
        <w:rPr>
          <w:rFonts w:ascii="Times New Roman" w:hAnsi="Times New Roman" w:cs="Times New Roman"/>
          <w:noProof w:val="0"/>
          <w:color w:val="000000" w:themeColor="text1"/>
          <w:sz w:val="24"/>
          <w:szCs w:val="24"/>
          <w:lang w:val="en-US"/>
        </w:rPr>
        <w:t xml:space="preserve">, </w:t>
      </w:r>
      <w:r w:rsidR="00E37E16" w:rsidRPr="000028B6">
        <w:rPr>
          <w:rFonts w:ascii="Times New Roman" w:hAnsi="Times New Roman" w:cs="Times New Roman"/>
          <w:noProof w:val="0"/>
          <w:color w:val="000000" w:themeColor="text1"/>
          <w:sz w:val="24"/>
          <w:szCs w:val="24"/>
          <w:lang w:val="en-US"/>
        </w:rPr>
        <w:t>ASAIO J. 2021. doi:10.1097/MAT.0000000000001422. Online ahead of print.</w:t>
      </w:r>
    </w:p>
    <w:p w14:paraId="45557C53" w14:textId="04CE57B6"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Dabbous HM, Abd-Elsalam S, El-Sayed MH. et al. Efficacy of favipiravir in COVID-19 treatment: a multi-center randomized study. Arch Virol</w:t>
      </w:r>
      <w:r w:rsidR="009B0DF7"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166: 949–954</w:t>
      </w:r>
    </w:p>
    <w:p w14:paraId="7B8F432E" w14:textId="2EC72D5B"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Ravikirti, Roy R, Pattadar C, et al. Ivermectin as a potential treatment for mild to moderate COVID-19–A double blind randomized placebo-controlled trial. </w:t>
      </w:r>
      <w:r w:rsidR="009B0DF7" w:rsidRPr="000028B6">
        <w:rPr>
          <w:rFonts w:ascii="Times New Roman" w:hAnsi="Times New Roman" w:cs="Times New Roman"/>
          <w:noProof w:val="0"/>
          <w:sz w:val="24"/>
          <w:szCs w:val="24"/>
          <w:lang w:val="en-US"/>
        </w:rPr>
        <w:t>medRxiv 2021.01.05.21249310</w:t>
      </w:r>
    </w:p>
    <w:p w14:paraId="42114368" w14:textId="5EB4386D"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Mancilla-Galindo J, García-Méndez JÓ, Márquez-Sánchez J, et al. All-cause mortality among patients treated with repurposed antivirals and antibiotics for COVID-19 in Mexico City: </w:t>
      </w:r>
      <w:r w:rsidR="009B0DF7" w:rsidRPr="000028B6">
        <w:rPr>
          <w:rFonts w:ascii="Times New Roman" w:hAnsi="Times New Roman" w:cs="Times New Roman"/>
          <w:noProof w:val="0"/>
          <w:sz w:val="24"/>
          <w:szCs w:val="24"/>
          <w:lang w:val="en-US"/>
        </w:rPr>
        <w:t>a</w:t>
      </w:r>
      <w:r w:rsidRPr="000028B6">
        <w:rPr>
          <w:rFonts w:ascii="Times New Roman" w:hAnsi="Times New Roman" w:cs="Times New Roman"/>
          <w:noProof w:val="0"/>
          <w:sz w:val="24"/>
          <w:szCs w:val="24"/>
          <w:lang w:val="en-US"/>
        </w:rPr>
        <w:t xml:space="preserve"> real-world observational study. EXCLI </w:t>
      </w:r>
      <w:r w:rsidR="009B0DF7" w:rsidRPr="000028B6">
        <w:rPr>
          <w:rFonts w:ascii="Times New Roman" w:hAnsi="Times New Roman" w:cs="Times New Roman"/>
          <w:noProof w:val="0"/>
          <w:sz w:val="24"/>
          <w:szCs w:val="24"/>
          <w:lang w:val="en-US"/>
        </w:rPr>
        <w:t>J</w:t>
      </w:r>
      <w:r w:rsidRPr="000028B6">
        <w:rPr>
          <w:rFonts w:ascii="Times New Roman" w:hAnsi="Times New Roman" w:cs="Times New Roman"/>
          <w:noProof w:val="0"/>
          <w:sz w:val="24"/>
          <w:szCs w:val="24"/>
          <w:lang w:val="en-US"/>
        </w:rPr>
        <w:t>ournal</w:t>
      </w:r>
      <w:r w:rsidR="009B0DF7"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20: 199–222.</w:t>
      </w:r>
    </w:p>
    <w:p w14:paraId="375A34A8" w14:textId="77777777" w:rsidR="00AA6487" w:rsidRPr="000028B6" w:rsidRDefault="00AA6487"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Gottlieb RL, Nirula A, Chen P, et al. Effect of Bamlanivimab as Monotherapy or in Combination With Etesevimab on Viral Load in Patients With Mild to Moderate COVID-19: A Randomized Clinical Trial. JAMA. 2021; 325: 632-644.</w:t>
      </w:r>
    </w:p>
    <w:p w14:paraId="5BBAA82F" w14:textId="40F2A2BE" w:rsidR="00AA6487"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Lundgren JD, Grund B, </w:t>
      </w:r>
      <w:r w:rsidR="002351A4" w:rsidRPr="000028B6">
        <w:rPr>
          <w:rFonts w:ascii="Times New Roman" w:hAnsi="Times New Roman" w:cs="Times New Roman"/>
          <w:noProof w:val="0"/>
          <w:sz w:val="24"/>
          <w:szCs w:val="24"/>
          <w:lang w:val="en-US"/>
        </w:rPr>
        <w:t xml:space="preserve">Barkauskas CE, </w:t>
      </w:r>
      <w:r w:rsidRPr="000028B6">
        <w:rPr>
          <w:rFonts w:ascii="Times New Roman" w:hAnsi="Times New Roman" w:cs="Times New Roman"/>
          <w:noProof w:val="0"/>
          <w:sz w:val="24"/>
          <w:szCs w:val="24"/>
          <w:lang w:val="en-US"/>
        </w:rPr>
        <w:t>et al. A neutralizing monoclonal antibody for hospitalized patients with COVID-19. N Engl J Med</w:t>
      </w:r>
      <w:r w:rsidR="002351A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384: 905-914</w:t>
      </w:r>
      <w:r w:rsidR="00AA6487" w:rsidRPr="000028B6">
        <w:rPr>
          <w:rFonts w:ascii="Times New Roman" w:hAnsi="Times New Roman" w:cs="Times New Roman"/>
          <w:noProof w:val="0"/>
          <w:sz w:val="24"/>
          <w:szCs w:val="24"/>
          <w:lang w:val="en-US"/>
        </w:rPr>
        <w:t>.</w:t>
      </w:r>
    </w:p>
    <w:p w14:paraId="47B2968A" w14:textId="532F6175"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Chen JS, Madel Alfajaro M, Chow RD, et al. Non-steroidal anti-inflammatory drugs dampen the cytokine and antibody response to SARS-CoV-2 infection. J Virology</w:t>
      </w:r>
      <w:r w:rsidR="002351A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2021; </w:t>
      </w:r>
      <w:r w:rsidR="002351A4" w:rsidRPr="000028B6">
        <w:rPr>
          <w:rFonts w:ascii="Times New Roman" w:hAnsi="Times New Roman" w:cs="Times New Roman"/>
          <w:noProof w:val="0"/>
          <w:sz w:val="24"/>
          <w:szCs w:val="24"/>
          <w:lang w:val="en-US"/>
        </w:rPr>
        <w:t>95: e00014-21</w:t>
      </w:r>
    </w:p>
    <w:p w14:paraId="0CE3F9DB" w14:textId="05CE59A6" w:rsidR="00823B98"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Khan FA, Stewart I, Fabbri L, et al. Systematic review and meta-analysis of anakinra,sarilumab, siltuximab and tocilizumab for COVID-19</w:t>
      </w:r>
      <w:r w:rsidR="002351A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Thorax</w:t>
      </w:r>
      <w:r w:rsidR="00823B98"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w:t>
      </w:r>
      <w:r w:rsidR="00224EF4" w:rsidRPr="000028B6">
        <w:rPr>
          <w:rFonts w:ascii="Times New Roman" w:hAnsi="Times New Roman" w:cs="Times New Roman"/>
          <w:noProof w:val="0"/>
          <w:sz w:val="24"/>
          <w:szCs w:val="24"/>
          <w:lang w:val="en-US"/>
        </w:rPr>
        <w:t>2021. doi: 10.1136/thoraxjnl-2020-215266. Online ahead of print.</w:t>
      </w:r>
    </w:p>
    <w:p w14:paraId="7BD65742" w14:textId="548F4DEC"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Greenhalgh T, Knight M, A'Court C, </w:t>
      </w:r>
      <w:r w:rsidR="002351A4" w:rsidRPr="000028B6">
        <w:rPr>
          <w:rFonts w:ascii="Times New Roman" w:hAnsi="Times New Roman" w:cs="Times New Roman"/>
          <w:noProof w:val="0"/>
          <w:sz w:val="24"/>
          <w:szCs w:val="24"/>
          <w:lang w:val="en-US"/>
        </w:rPr>
        <w:t>et al</w:t>
      </w:r>
      <w:r w:rsidRPr="000028B6">
        <w:rPr>
          <w:rFonts w:ascii="Times New Roman" w:hAnsi="Times New Roman" w:cs="Times New Roman"/>
          <w:noProof w:val="0"/>
          <w:sz w:val="24"/>
          <w:szCs w:val="24"/>
          <w:lang w:val="en-US"/>
        </w:rPr>
        <w:t>. Management of post-acute covid-19 in primary care. BMJ</w:t>
      </w:r>
      <w:r w:rsidR="002351A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370: m3026.</w:t>
      </w:r>
    </w:p>
    <w:p w14:paraId="68DE7C54" w14:textId="033B2211"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National Institute of Health. COVID-19 Treatment Guidelines. </w:t>
      </w:r>
      <w:r w:rsidR="002351A4" w:rsidRPr="000028B6">
        <w:rPr>
          <w:rFonts w:ascii="Times New Roman" w:hAnsi="Times New Roman" w:cs="Times New Roman"/>
          <w:noProof w:val="0"/>
          <w:sz w:val="24"/>
          <w:szCs w:val="24"/>
          <w:lang w:val="en-US"/>
        </w:rPr>
        <w:t xml:space="preserve">Clinical Spectrum of SARS-CoV-2 Infection. </w:t>
      </w:r>
      <w:r w:rsidRPr="000028B6">
        <w:rPr>
          <w:rFonts w:ascii="Times New Roman" w:hAnsi="Times New Roman" w:cs="Times New Roman"/>
          <w:noProof w:val="0"/>
          <w:sz w:val="24"/>
          <w:szCs w:val="24"/>
          <w:lang w:val="en-US"/>
        </w:rPr>
        <w:t xml:space="preserve">https://www.covid19treatmentguidelines.nih.gov/overview/clinical-spectrum/ </w:t>
      </w:r>
      <w:r w:rsidR="002351A4" w:rsidRPr="000028B6">
        <w:rPr>
          <w:rFonts w:ascii="Times New Roman" w:hAnsi="Times New Roman" w:cs="Times New Roman"/>
          <w:noProof w:val="0"/>
          <w:sz w:val="24"/>
          <w:szCs w:val="24"/>
          <w:lang w:val="en-US"/>
        </w:rPr>
        <w:t>A</w:t>
      </w:r>
      <w:r w:rsidRPr="000028B6">
        <w:rPr>
          <w:rFonts w:ascii="Times New Roman" w:hAnsi="Times New Roman" w:cs="Times New Roman"/>
          <w:noProof w:val="0"/>
          <w:sz w:val="24"/>
          <w:szCs w:val="24"/>
          <w:lang w:val="en-US"/>
        </w:rPr>
        <w:t xml:space="preserve">ccessed </w:t>
      </w:r>
      <w:r w:rsidR="002351A4" w:rsidRPr="000028B6">
        <w:rPr>
          <w:rFonts w:ascii="Times New Roman" w:hAnsi="Times New Roman" w:cs="Times New Roman"/>
          <w:noProof w:val="0"/>
          <w:sz w:val="24"/>
          <w:szCs w:val="24"/>
          <w:lang w:val="en-US"/>
        </w:rPr>
        <w:t xml:space="preserve">Mar </w:t>
      </w:r>
      <w:r w:rsidRPr="000028B6">
        <w:rPr>
          <w:rFonts w:ascii="Times New Roman" w:hAnsi="Times New Roman" w:cs="Times New Roman"/>
          <w:noProof w:val="0"/>
          <w:sz w:val="24"/>
          <w:szCs w:val="24"/>
          <w:lang w:val="en-US"/>
        </w:rPr>
        <w:t>31</w:t>
      </w:r>
      <w:r w:rsidR="002351A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2021</w:t>
      </w:r>
      <w:r w:rsidR="002351A4" w:rsidRPr="000028B6">
        <w:rPr>
          <w:rFonts w:ascii="Times New Roman" w:hAnsi="Times New Roman" w:cs="Times New Roman"/>
          <w:noProof w:val="0"/>
          <w:sz w:val="24"/>
          <w:szCs w:val="24"/>
          <w:lang w:val="en-US"/>
        </w:rPr>
        <w:t>.</w:t>
      </w:r>
    </w:p>
    <w:p w14:paraId="3A549E5F" w14:textId="6B896FC6"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 xml:space="preserve">Nalbandian A, Sehgal K, Gupta A, et al. Post-acute COVID-19 syndrome. </w:t>
      </w:r>
      <w:r w:rsidR="00224EF4" w:rsidRPr="000028B6">
        <w:rPr>
          <w:rFonts w:ascii="Times New Roman" w:hAnsi="Times New Roman" w:cs="Times New Roman"/>
          <w:noProof w:val="0"/>
          <w:sz w:val="24"/>
          <w:szCs w:val="24"/>
          <w:lang w:val="en-US"/>
        </w:rPr>
        <w:t>Nat Med. 2021. doi: 10.1038/s41591-021-01283-z. Online ahead of print.</w:t>
      </w:r>
    </w:p>
    <w:p w14:paraId="5B4C8604" w14:textId="17F08289"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Okarska-Napierała M, Ludwikowska K, Książyk J, et al. </w:t>
      </w:r>
      <w:r w:rsidR="00A344C8" w:rsidRPr="000028B6">
        <w:rPr>
          <w:rFonts w:ascii="Times New Roman" w:hAnsi="Times New Roman" w:cs="Times New Roman"/>
          <w:noProof w:val="0"/>
          <w:sz w:val="24"/>
          <w:szCs w:val="24"/>
        </w:rPr>
        <w:t>Approach to a child with paediatric inflammatory multisystem syndrome with COVID-19</w:t>
      </w:r>
      <w:r w:rsidRPr="000028B6">
        <w:rPr>
          <w:rFonts w:ascii="Times New Roman" w:hAnsi="Times New Roman" w:cs="Times New Roman"/>
          <w:noProof w:val="0"/>
          <w:sz w:val="24"/>
          <w:szCs w:val="24"/>
        </w:rPr>
        <w:t xml:space="preserve">. </w:t>
      </w:r>
      <w:r w:rsidRPr="000028B6">
        <w:rPr>
          <w:rFonts w:ascii="Times New Roman" w:hAnsi="Times New Roman" w:cs="Times New Roman"/>
          <w:noProof w:val="0"/>
          <w:sz w:val="24"/>
          <w:szCs w:val="24"/>
          <w:lang w:val="en-US"/>
        </w:rPr>
        <w:t>Przegl Pediatr 2020; 49: 1-9.</w:t>
      </w:r>
    </w:p>
    <w:p w14:paraId="00BBCC0E" w14:textId="21BE29B0" w:rsidR="007135BF"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Jaroszewicz J. Gąsior M. Kompleksowa opieka nad chorym z zespołem Post-COVID-19 (PC19). </w:t>
      </w:r>
      <w:r w:rsidRPr="000028B6">
        <w:rPr>
          <w:rFonts w:ascii="Times New Roman" w:hAnsi="Times New Roman" w:cs="Times New Roman"/>
          <w:noProof w:val="0"/>
          <w:sz w:val="24"/>
          <w:szCs w:val="24"/>
          <w:lang w:val="en-US"/>
        </w:rPr>
        <w:t>I-medica Warszawa 2021, ISBN: 978-83-959922-1-6.</w:t>
      </w:r>
    </w:p>
    <w:p w14:paraId="573F80CF" w14:textId="77777777" w:rsidR="004B503E" w:rsidRPr="000028B6" w:rsidRDefault="004B503E"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lastRenderedPageBreak/>
        <w:t xml:space="preserve">Spyropoulos AC, Levy JH, Ageno W, et al. Subcommittee on Perioperative, Critical Care Thrombosis, Haemostasis of the Scientific, Standardization Committee of the International Society on Thrombosis and Haemostasis. Scientific and Standardization Committee communication: Clinical guidance on the diagnosis, prevention, and treatment of venous thromboembolism in hospitalized patients with COVID-19. J Thromb Haemost. 2020; 18: 1859-1865. </w:t>
      </w:r>
    </w:p>
    <w:p w14:paraId="3EEE0B58" w14:textId="73D0E626" w:rsidR="00224EF4" w:rsidRPr="000028B6" w:rsidRDefault="00693ED3"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Spyropoulos AC, Anderson FA Jr, Fitz</w:t>
      </w:r>
      <w:r w:rsidR="00224EF4" w:rsidRPr="000028B6">
        <w:rPr>
          <w:rFonts w:ascii="Times New Roman" w:hAnsi="Times New Roman" w:cs="Times New Roman"/>
          <w:noProof w:val="0"/>
          <w:sz w:val="24"/>
          <w:szCs w:val="24"/>
          <w:lang w:val="en-US"/>
        </w:rPr>
        <w:t>g</w:t>
      </w:r>
      <w:r w:rsidRPr="000028B6">
        <w:rPr>
          <w:rFonts w:ascii="Times New Roman" w:hAnsi="Times New Roman" w:cs="Times New Roman"/>
          <w:noProof w:val="0"/>
          <w:sz w:val="24"/>
          <w:szCs w:val="24"/>
          <w:lang w:val="en-US"/>
        </w:rPr>
        <w:t>erald G,</w:t>
      </w:r>
      <w:r w:rsidR="00224EF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et al. Predictive and associative models to identify hospitalized medical patients at risk for VTE. Chest</w:t>
      </w:r>
      <w:r w:rsidR="00224EF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2011; 140: 706-714.</w:t>
      </w:r>
    </w:p>
    <w:p w14:paraId="2EE60A17" w14:textId="300A47A2"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Polack FP, Thomas SJ, Kitchin N et al. Safety and Efficacy of the BNT162b2 mRNA Covid-19 Vaccine. N Engl J Med</w:t>
      </w:r>
      <w:r w:rsidR="00224EF4" w:rsidRPr="000028B6">
        <w:rPr>
          <w:rFonts w:ascii="Times New Roman" w:hAnsi="Times New Roman" w:cs="Times New Roman"/>
          <w:noProof w:val="0"/>
          <w:sz w:val="24"/>
          <w:szCs w:val="24"/>
          <w:lang w:val="en-US"/>
        </w:rPr>
        <w:t>.</w:t>
      </w:r>
      <w:r w:rsidRPr="000028B6">
        <w:rPr>
          <w:rFonts w:ascii="Times New Roman" w:hAnsi="Times New Roman" w:cs="Times New Roman"/>
          <w:noProof w:val="0"/>
          <w:sz w:val="24"/>
          <w:szCs w:val="24"/>
          <w:lang w:val="en-US"/>
        </w:rPr>
        <w:t xml:space="preserve"> 2020; 383:</w:t>
      </w:r>
      <w:r w:rsidR="00224EF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2603-2615</w:t>
      </w:r>
      <w:r w:rsidR="00224EF4" w:rsidRPr="000028B6">
        <w:rPr>
          <w:rFonts w:ascii="Times New Roman" w:hAnsi="Times New Roman" w:cs="Times New Roman"/>
          <w:noProof w:val="0"/>
          <w:sz w:val="24"/>
          <w:szCs w:val="24"/>
          <w:lang w:val="en-US"/>
        </w:rPr>
        <w:t>.</w:t>
      </w:r>
    </w:p>
    <w:p w14:paraId="28853973" w14:textId="77777777" w:rsidR="00DB4EC6" w:rsidRPr="000028B6" w:rsidRDefault="00DB4EC6"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lang w:val="en-US"/>
        </w:rPr>
        <w:t>Comirnaty – summary of product characteristics. https://www.ema.europa.eu/en/documents/product-information/comirnaty-epar-product-information_pl.pdf. Accessed March 31, 2021.</w:t>
      </w:r>
    </w:p>
    <w:p w14:paraId="4E1E5486" w14:textId="52EF95C8" w:rsidR="00B64AF1" w:rsidRPr="000028B6" w:rsidRDefault="00E613B0" w:rsidP="000028B6">
      <w:pPr>
        <w:pStyle w:val="Akapitzlist"/>
        <w:numPr>
          <w:ilvl w:val="0"/>
          <w:numId w:val="16"/>
        </w:numPr>
        <w:spacing w:line="480" w:lineRule="auto"/>
        <w:ind w:left="360"/>
        <w:rPr>
          <w:rFonts w:ascii="Times New Roman" w:hAnsi="Times New Roman" w:cs="Times New Roman"/>
          <w:noProof w:val="0"/>
          <w:sz w:val="24"/>
          <w:szCs w:val="24"/>
          <w:lang w:val="en-US"/>
        </w:rPr>
      </w:pPr>
      <w:r w:rsidRPr="000028B6">
        <w:rPr>
          <w:rFonts w:ascii="Times New Roman" w:hAnsi="Times New Roman" w:cs="Times New Roman"/>
          <w:noProof w:val="0"/>
          <w:sz w:val="24"/>
          <w:szCs w:val="24"/>
        </w:rPr>
        <w:t xml:space="preserve">Rzymski P, Borkowski L, Drąg M, et al. </w:t>
      </w:r>
      <w:r w:rsidRPr="000028B6">
        <w:rPr>
          <w:rFonts w:ascii="Times New Roman" w:hAnsi="Times New Roman" w:cs="Times New Roman"/>
          <w:noProof w:val="0"/>
          <w:sz w:val="24"/>
          <w:szCs w:val="24"/>
          <w:lang w:val="en-US"/>
        </w:rPr>
        <w:t>The Strategies to Support the COVID-19 Vaccination with Evidence-Based Communication and Tackling Misinformation. Vaccines (Basel) 2021; 9:</w:t>
      </w:r>
      <w:r w:rsidR="00224EF4" w:rsidRPr="000028B6">
        <w:rPr>
          <w:rFonts w:ascii="Times New Roman" w:hAnsi="Times New Roman" w:cs="Times New Roman"/>
          <w:noProof w:val="0"/>
          <w:sz w:val="24"/>
          <w:szCs w:val="24"/>
          <w:lang w:val="en-US"/>
        </w:rPr>
        <w:t xml:space="preserve"> </w:t>
      </w:r>
      <w:r w:rsidRPr="000028B6">
        <w:rPr>
          <w:rFonts w:ascii="Times New Roman" w:hAnsi="Times New Roman" w:cs="Times New Roman"/>
          <w:noProof w:val="0"/>
          <w:sz w:val="24"/>
          <w:szCs w:val="24"/>
          <w:lang w:val="en-US"/>
        </w:rPr>
        <w:t>109.</w:t>
      </w:r>
    </w:p>
    <w:p w14:paraId="58457D3E" w14:textId="4007BDEF" w:rsidR="00A344C8" w:rsidRPr="000028B6" w:rsidRDefault="00317199"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sz w:val="24"/>
          <w:szCs w:val="24"/>
          <w:lang w:val="en-US"/>
        </w:rPr>
        <w:t xml:space="preserve">Borkowski L, Drąg M, Fal AM, et al. </w:t>
      </w:r>
      <w:r w:rsidR="00A344C8" w:rsidRPr="000028B6">
        <w:rPr>
          <w:rFonts w:ascii="Times New Roman" w:hAnsi="Times New Roman" w:cs="Times New Roman"/>
          <w:noProof w:val="0"/>
          <w:sz w:val="24"/>
          <w:szCs w:val="24"/>
        </w:rPr>
        <w:t>Vaccinations against COVID-19. Innovative technologies and efficiency</w:t>
      </w:r>
      <w:r w:rsidRPr="000028B6">
        <w:rPr>
          <w:rFonts w:ascii="Times New Roman" w:hAnsi="Times New Roman" w:cs="Times New Roman"/>
          <w:noProof w:val="0"/>
          <w:sz w:val="24"/>
          <w:szCs w:val="24"/>
        </w:rPr>
        <w:t xml:space="preserve">. </w:t>
      </w:r>
      <w:r w:rsidR="00675F1A" w:rsidRPr="000028B6">
        <w:rPr>
          <w:rFonts w:ascii="Times New Roman" w:hAnsi="Times New Roman" w:cs="Times New Roman"/>
          <w:noProof w:val="0"/>
          <w:sz w:val="24"/>
          <w:szCs w:val="24"/>
        </w:rPr>
        <w:t>https://naukaprzeciwpandemii.pl/en/</w:t>
      </w:r>
      <w:r w:rsidRPr="000028B6">
        <w:rPr>
          <w:rFonts w:ascii="Times New Roman" w:hAnsi="Times New Roman" w:cs="Times New Roman"/>
          <w:noProof w:val="0"/>
          <w:sz w:val="24"/>
          <w:szCs w:val="24"/>
        </w:rPr>
        <w:t xml:space="preserve">. </w:t>
      </w:r>
      <w:r w:rsidRPr="000028B6">
        <w:rPr>
          <w:rFonts w:ascii="Times New Roman" w:hAnsi="Times New Roman" w:cs="Times New Roman"/>
          <w:noProof w:val="0"/>
          <w:sz w:val="24"/>
          <w:szCs w:val="24"/>
          <w:lang w:val="en-US"/>
        </w:rPr>
        <w:t>Accessed March 31, 2021.</w:t>
      </w:r>
    </w:p>
    <w:p w14:paraId="141AEEDD" w14:textId="3B78E442" w:rsidR="0002512F" w:rsidRDefault="0002512F" w:rsidP="000028B6">
      <w:pPr>
        <w:pStyle w:val="Akapitzlist"/>
        <w:numPr>
          <w:ilvl w:val="0"/>
          <w:numId w:val="16"/>
        </w:numPr>
        <w:spacing w:line="480" w:lineRule="auto"/>
        <w:ind w:left="360"/>
        <w:rPr>
          <w:rFonts w:ascii="Times New Roman" w:hAnsi="Times New Roman" w:cs="Times New Roman"/>
          <w:noProof w:val="0"/>
          <w:color w:val="000000" w:themeColor="text1"/>
          <w:sz w:val="24"/>
          <w:szCs w:val="24"/>
          <w:lang w:val="en-US"/>
        </w:rPr>
      </w:pPr>
      <w:r w:rsidRPr="000028B6">
        <w:rPr>
          <w:rFonts w:ascii="Times New Roman" w:hAnsi="Times New Roman" w:cs="Times New Roman"/>
          <w:noProof w:val="0"/>
          <w:color w:val="000000" w:themeColor="text1"/>
          <w:sz w:val="24"/>
          <w:szCs w:val="24"/>
          <w:lang w:val="en-US"/>
        </w:rPr>
        <w:t xml:space="preserve">Centers for Disease Control and Prevention. Information about COVID-19 vaccines for people who are pregnant or breastfeeding. </w:t>
      </w:r>
      <w:r w:rsidR="00823B98" w:rsidRPr="000028B6">
        <w:rPr>
          <w:rFonts w:ascii="Times New Roman" w:hAnsi="Times New Roman" w:cs="Times New Roman"/>
          <w:color w:val="000000" w:themeColor="text1"/>
          <w:sz w:val="24"/>
          <w:szCs w:val="24"/>
          <w:lang w:val="en-GB"/>
        </w:rPr>
        <w:t>https://www.cdc.gov/coronavirus/2019-ncov/vaccines/recommendations/pregnancy.html</w:t>
      </w:r>
      <w:r w:rsidRPr="000028B6">
        <w:rPr>
          <w:rFonts w:ascii="Times New Roman" w:hAnsi="Times New Roman" w:cs="Times New Roman"/>
          <w:noProof w:val="0"/>
          <w:color w:val="000000" w:themeColor="text1"/>
          <w:sz w:val="24"/>
          <w:szCs w:val="24"/>
          <w:lang w:val="en-GB"/>
        </w:rPr>
        <w:t xml:space="preserve">. </w:t>
      </w:r>
      <w:r w:rsidRPr="000028B6">
        <w:rPr>
          <w:rFonts w:ascii="Times New Roman" w:hAnsi="Times New Roman" w:cs="Times New Roman"/>
          <w:noProof w:val="0"/>
          <w:color w:val="000000" w:themeColor="text1"/>
          <w:sz w:val="24"/>
          <w:szCs w:val="24"/>
          <w:lang w:val="en-US"/>
        </w:rPr>
        <w:t>Accessed April 12, 2021.</w:t>
      </w:r>
    </w:p>
    <w:p w14:paraId="27D98E98" w14:textId="77A4CF03" w:rsidR="000028B6" w:rsidRDefault="000028B6">
      <w:pPr>
        <w:rPr>
          <w:rFonts w:ascii="Times New Roman" w:hAnsi="Times New Roman" w:cs="Times New Roman"/>
          <w:noProof w:val="0"/>
          <w:color w:val="000000" w:themeColor="text1"/>
          <w:sz w:val="24"/>
          <w:szCs w:val="24"/>
          <w:lang w:val="en-US"/>
        </w:rPr>
      </w:pPr>
      <w:r>
        <w:rPr>
          <w:rFonts w:ascii="Times New Roman" w:hAnsi="Times New Roman" w:cs="Times New Roman"/>
          <w:noProof w:val="0"/>
          <w:color w:val="000000" w:themeColor="text1"/>
          <w:sz w:val="24"/>
          <w:szCs w:val="24"/>
          <w:lang w:val="en-US"/>
        </w:rPr>
        <w:br w:type="page"/>
      </w:r>
    </w:p>
    <w:p w14:paraId="06E032AE" w14:textId="77777777" w:rsidR="000028B6" w:rsidRPr="000028B6" w:rsidRDefault="000028B6" w:rsidP="000028B6">
      <w:pPr>
        <w:spacing w:after="0"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lastRenderedPageBreak/>
        <w:t>Table 1</w:t>
      </w:r>
    </w:p>
    <w:p w14:paraId="6204FBD9" w14:textId="77777777" w:rsidR="000028B6" w:rsidRPr="000028B6" w:rsidRDefault="000028B6"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Recommended pharmacological management at different clinical stages of SARS‑CoV‑2 infection including primary and supportive treatment (modified from reference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652"/>
        <w:gridCol w:w="3255"/>
      </w:tblGrid>
      <w:tr w:rsidR="000028B6" w:rsidRPr="0025772C" w14:paraId="6CD6B81B" w14:textId="77777777" w:rsidTr="00292B45">
        <w:tc>
          <w:tcPr>
            <w:tcW w:w="2155" w:type="dxa"/>
            <w:shd w:val="clear" w:color="auto" w:fill="auto"/>
            <w:tcMar>
              <w:left w:w="28" w:type="dxa"/>
              <w:right w:w="28" w:type="dxa"/>
            </w:tcMar>
          </w:tcPr>
          <w:p w14:paraId="743EAE56" w14:textId="77777777" w:rsidR="000028B6" w:rsidRPr="0025772C" w:rsidRDefault="000028B6" w:rsidP="009038EB">
            <w:pPr>
              <w:spacing w:after="0" w:line="480" w:lineRule="auto"/>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Disease stage</w:t>
            </w:r>
          </w:p>
        </w:tc>
        <w:tc>
          <w:tcPr>
            <w:tcW w:w="3652" w:type="dxa"/>
            <w:shd w:val="clear" w:color="auto" w:fill="auto"/>
            <w:tcMar>
              <w:left w:w="28" w:type="dxa"/>
              <w:right w:w="28" w:type="dxa"/>
            </w:tcMar>
          </w:tcPr>
          <w:p w14:paraId="23B318C6" w14:textId="77777777" w:rsidR="000028B6" w:rsidRPr="0025772C" w:rsidRDefault="000028B6" w:rsidP="009038EB">
            <w:pPr>
              <w:spacing w:after="0" w:line="480" w:lineRule="auto"/>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Primary treatment</w:t>
            </w:r>
          </w:p>
        </w:tc>
        <w:tc>
          <w:tcPr>
            <w:tcW w:w="3255" w:type="dxa"/>
            <w:shd w:val="clear" w:color="auto" w:fill="auto"/>
            <w:tcMar>
              <w:left w:w="28" w:type="dxa"/>
              <w:right w:w="28" w:type="dxa"/>
            </w:tcMar>
          </w:tcPr>
          <w:p w14:paraId="28CA1D67" w14:textId="77777777" w:rsidR="000028B6" w:rsidRPr="0025772C" w:rsidRDefault="000028B6" w:rsidP="009038EB">
            <w:pPr>
              <w:spacing w:after="0" w:line="480" w:lineRule="auto"/>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Supportive therapy</w:t>
            </w:r>
          </w:p>
        </w:tc>
      </w:tr>
      <w:tr w:rsidR="000028B6" w:rsidRPr="0025772C" w14:paraId="11360D2A" w14:textId="77777777" w:rsidTr="00292B45">
        <w:tc>
          <w:tcPr>
            <w:tcW w:w="2155" w:type="dxa"/>
            <w:shd w:val="clear" w:color="auto" w:fill="auto"/>
            <w:tcMar>
              <w:left w:w="28" w:type="dxa"/>
              <w:right w:w="28" w:type="dxa"/>
            </w:tcMar>
          </w:tcPr>
          <w:p w14:paraId="0461CCC9" w14:textId="77777777" w:rsidR="000028B6" w:rsidRPr="0025772C" w:rsidRDefault="000028B6" w:rsidP="009038EB">
            <w:pPr>
              <w:spacing w:after="0" w:line="480" w:lineRule="auto"/>
              <w:contextualSpacing/>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t>Stage 1:</w:t>
            </w:r>
          </w:p>
          <w:p w14:paraId="36FA00EE" w14:textId="77777777" w:rsidR="000028B6" w:rsidRPr="0025772C" w:rsidRDefault="000028B6" w:rsidP="009038EB">
            <w:pPr>
              <w:spacing w:after="0" w:line="480" w:lineRule="auto"/>
              <w:ind w:left="110"/>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asymptomatic or mildly symptomatic</w:t>
            </w:r>
          </w:p>
          <w:p w14:paraId="30026FFF"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SpO</w:t>
            </w:r>
            <w:r w:rsidRPr="0025772C">
              <w:rPr>
                <w:rFonts w:ascii="Times New Roman" w:eastAsia="Calibri" w:hAnsi="Times New Roman" w:cs="Times New Roman"/>
                <w:noProof w:val="0"/>
                <w:color w:val="000000"/>
                <w:sz w:val="24"/>
                <w:szCs w:val="24"/>
                <w:vertAlign w:val="subscript"/>
                <w:lang w:val="en-US" w:eastAsia="en-GB"/>
              </w:rPr>
              <w:t>2</w:t>
            </w:r>
            <w:r w:rsidRPr="0025772C">
              <w:rPr>
                <w:rFonts w:ascii="Times New Roman" w:eastAsia="Calibri" w:hAnsi="Times New Roman" w:cs="Times New Roman"/>
                <w:noProof w:val="0"/>
                <w:color w:val="000000"/>
                <w:sz w:val="24"/>
                <w:szCs w:val="24"/>
                <w:lang w:val="en-US" w:eastAsia="en-GB"/>
              </w:rPr>
              <w:t xml:space="preserve"> </w:t>
            </w:r>
            <w:r w:rsidRPr="0025772C">
              <w:rPr>
                <w:rFonts w:ascii="Times New Roman" w:eastAsia="Calibri" w:hAnsi="Times New Roman" w:cs="Times New Roman"/>
                <w:noProof w:val="0"/>
                <w:color w:val="000000"/>
                <w:sz w:val="24"/>
                <w:szCs w:val="24"/>
                <w:cs/>
                <w:lang w:val="en-US" w:eastAsia="en-GB"/>
              </w:rPr>
              <w:t>≥</w:t>
            </w:r>
            <w:r w:rsidRPr="0025772C">
              <w:rPr>
                <w:rFonts w:ascii="Times New Roman" w:eastAsia="Calibri" w:hAnsi="Times New Roman" w:cs="Times New Roman"/>
                <w:noProof w:val="0"/>
                <w:color w:val="000000"/>
                <w:sz w:val="24"/>
                <w:szCs w:val="24"/>
                <w:lang w:val="en-US" w:eastAsia="en-GB"/>
              </w:rPr>
              <w:t>94%</w:t>
            </w:r>
          </w:p>
          <w:p w14:paraId="688F52B1"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no hospitalization is necessary</w:t>
            </w:r>
          </w:p>
        </w:tc>
        <w:tc>
          <w:tcPr>
            <w:tcW w:w="6907" w:type="dxa"/>
            <w:gridSpan w:val="2"/>
            <w:shd w:val="clear" w:color="auto" w:fill="auto"/>
            <w:tcMar>
              <w:left w:w="28" w:type="dxa"/>
              <w:right w:w="28" w:type="dxa"/>
            </w:tcMar>
          </w:tcPr>
          <w:p w14:paraId="5D642DF6"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antipyretic drugs (paracetamol, ibuprofen, etc.),</w:t>
            </w:r>
          </w:p>
          <w:p w14:paraId="67441227"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rest,</w:t>
            </w:r>
          </w:p>
          <w:p w14:paraId="39794F90"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oral hydration,</w:t>
            </w:r>
          </w:p>
          <w:p w14:paraId="7DEE28A4"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low-molecular-weight heparins in chronically bedridden patients,</w:t>
            </w:r>
          </w:p>
          <w:p w14:paraId="349A19E9"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antitussive drugs for severe cough,</w:t>
            </w:r>
          </w:p>
          <w:p w14:paraId="6EFB6E0C" w14:textId="79B921B4" w:rsidR="0025772C" w:rsidRDefault="0025772C"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t>Budesonide</w:t>
            </w:r>
            <w:r>
              <w:rPr>
                <w:rFonts w:ascii="Times New Roman" w:eastAsia="Calibri" w:hAnsi="Times New Roman" w:cs="Times New Roman"/>
                <w:b/>
                <w:bCs/>
                <w:noProof w:val="0"/>
                <w:color w:val="000000"/>
                <w:sz w:val="24"/>
                <w:szCs w:val="24"/>
                <w:lang w:val="en-US" w:eastAsia="en-GB"/>
              </w:rPr>
              <w:t>,</w:t>
            </w:r>
            <w:r w:rsidRPr="0025772C">
              <w:rPr>
                <w:rFonts w:ascii="Times New Roman" w:eastAsia="Calibri" w:hAnsi="Times New Roman" w:cs="Times New Roman"/>
                <w:noProof w:val="0"/>
                <w:color w:val="000000"/>
                <w:sz w:val="24"/>
                <w:szCs w:val="24"/>
                <w:lang w:val="en-US" w:eastAsia="en-GB"/>
              </w:rPr>
              <w:t xml:space="preserve"> 2 x 800µg </w:t>
            </w:r>
            <w:r>
              <w:rPr>
                <w:rFonts w:ascii="Times New Roman" w:eastAsia="Calibri" w:hAnsi="Times New Roman" w:cs="Times New Roman"/>
                <w:noProof w:val="0"/>
                <w:color w:val="000000"/>
                <w:sz w:val="24"/>
                <w:szCs w:val="24"/>
                <w:lang w:val="en-US" w:eastAsia="en-GB"/>
              </w:rPr>
              <w:t xml:space="preserve">daily </w:t>
            </w:r>
            <w:r w:rsidRPr="0025772C">
              <w:rPr>
                <w:rFonts w:ascii="Times New Roman" w:eastAsia="Calibri" w:hAnsi="Times New Roman" w:cs="Times New Roman"/>
                <w:noProof w:val="0"/>
                <w:color w:val="000000"/>
                <w:sz w:val="24"/>
                <w:szCs w:val="24"/>
                <w:lang w:val="en-US" w:eastAsia="en-GB"/>
              </w:rPr>
              <w:t>by inhalation</w:t>
            </w:r>
          </w:p>
          <w:p w14:paraId="16E0BCB7" w14:textId="77255A05" w:rsidR="000028B6" w:rsidRPr="0025772C" w:rsidRDefault="0025772C"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Pr>
                <w:rFonts w:ascii="Times New Roman" w:eastAsia="Calibri" w:hAnsi="Times New Roman" w:cs="Times New Roman"/>
                <w:noProof w:val="0"/>
                <w:color w:val="000000"/>
                <w:sz w:val="24"/>
                <w:szCs w:val="24"/>
                <w:lang w:val="en-US" w:eastAsia="en-GB"/>
              </w:rPr>
              <w:t xml:space="preserve">systemic </w:t>
            </w:r>
            <w:r w:rsidR="000028B6" w:rsidRPr="0025772C">
              <w:rPr>
                <w:rFonts w:ascii="Times New Roman" w:eastAsia="Calibri" w:hAnsi="Times New Roman" w:cs="Times New Roman"/>
                <w:noProof w:val="0"/>
                <w:color w:val="000000"/>
                <w:sz w:val="24"/>
                <w:szCs w:val="24"/>
                <w:lang w:val="en-US" w:eastAsia="en-GB"/>
              </w:rPr>
              <w:t>glucocorticosteroids are contraindicated,</w:t>
            </w:r>
          </w:p>
          <w:p w14:paraId="46B46D61"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antibiotics, anti-influenza drugs contraindicated, unless there is a bacterial co-infection or concomitant influenza,</w:t>
            </w:r>
          </w:p>
          <w:p w14:paraId="12D50539" w14:textId="77777777" w:rsidR="000028B6" w:rsidRPr="0025772C" w:rsidRDefault="000028B6" w:rsidP="009038EB">
            <w:pPr>
              <w:numPr>
                <w:ilvl w:val="0"/>
                <w:numId w:val="7"/>
              </w:numPr>
              <w:spacing w:after="0" w:line="480" w:lineRule="auto"/>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oxygen saturation control – implementation of the Pulsocare remote alarm system (using pulse oximeters).</w:t>
            </w:r>
          </w:p>
        </w:tc>
      </w:tr>
      <w:tr w:rsidR="000028B6" w:rsidRPr="0025772C" w14:paraId="0AAC343D" w14:textId="77777777" w:rsidTr="00292B45">
        <w:tc>
          <w:tcPr>
            <w:tcW w:w="2155" w:type="dxa"/>
            <w:shd w:val="clear" w:color="auto" w:fill="auto"/>
            <w:tcMar>
              <w:left w:w="28" w:type="dxa"/>
              <w:right w:w="28" w:type="dxa"/>
            </w:tcMar>
          </w:tcPr>
          <w:p w14:paraId="61A3B33C" w14:textId="77777777" w:rsidR="000028B6" w:rsidRPr="0025772C" w:rsidRDefault="000028B6" w:rsidP="009038EB">
            <w:pPr>
              <w:spacing w:after="0" w:line="480" w:lineRule="auto"/>
              <w:contextualSpacing/>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t>Stage 2:</w:t>
            </w:r>
          </w:p>
          <w:p w14:paraId="602000BA" w14:textId="77777777" w:rsidR="000028B6" w:rsidRPr="0025772C" w:rsidRDefault="000028B6" w:rsidP="009038EB">
            <w:pPr>
              <w:spacing w:after="0" w:line="480" w:lineRule="auto"/>
              <w:ind w:left="110"/>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fully symptomatic</w:t>
            </w:r>
            <w:r w:rsidRPr="0025772C">
              <w:rPr>
                <w:rFonts w:ascii="Times New Roman" w:eastAsia="Calibri" w:hAnsi="Times New Roman" w:cs="Times New Roman"/>
                <w:noProof w:val="0"/>
                <w:color w:val="000000"/>
                <w:sz w:val="24"/>
                <w:szCs w:val="24"/>
                <w:lang w:val="en-US" w:eastAsia="en-GB"/>
              </w:rPr>
              <w:t xml:space="preserve"> (viral multiplication)</w:t>
            </w:r>
          </w:p>
          <w:p w14:paraId="46C8CA0B"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SpO</w:t>
            </w:r>
            <w:r w:rsidRPr="0025772C">
              <w:rPr>
                <w:rFonts w:ascii="Times New Roman" w:eastAsia="Calibri" w:hAnsi="Times New Roman" w:cs="Times New Roman"/>
                <w:noProof w:val="0"/>
                <w:color w:val="000000"/>
                <w:sz w:val="24"/>
                <w:szCs w:val="24"/>
                <w:vertAlign w:val="subscript"/>
                <w:lang w:val="en-US" w:eastAsia="en-GB"/>
              </w:rPr>
              <w:t>2</w:t>
            </w:r>
            <w:r w:rsidRPr="0025772C">
              <w:rPr>
                <w:rFonts w:ascii="Times New Roman" w:eastAsia="Calibri" w:hAnsi="Times New Roman" w:cs="Times New Roman"/>
                <w:noProof w:val="0"/>
                <w:color w:val="000000"/>
                <w:sz w:val="24"/>
                <w:szCs w:val="24"/>
                <w:lang w:val="en-US" w:eastAsia="en-GB"/>
              </w:rPr>
              <w:t xml:space="preserve"> &lt;94%</w:t>
            </w:r>
          </w:p>
          <w:p w14:paraId="1FFBE61C"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usually week 1 after disease onset</w:t>
            </w:r>
          </w:p>
          <w:p w14:paraId="1DB7790B"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hospitalization is required</w:t>
            </w:r>
          </w:p>
        </w:tc>
        <w:tc>
          <w:tcPr>
            <w:tcW w:w="3652" w:type="dxa"/>
            <w:shd w:val="clear" w:color="auto" w:fill="auto"/>
            <w:tcMar>
              <w:left w:w="28" w:type="dxa"/>
              <w:right w:w="28" w:type="dxa"/>
            </w:tcMar>
          </w:tcPr>
          <w:p w14:paraId="25E7B057" w14:textId="6BCB24A2" w:rsidR="000028B6" w:rsidRPr="0025772C" w:rsidRDefault="0025772C" w:rsidP="009038EB">
            <w:pPr>
              <w:spacing w:after="0" w:line="480" w:lineRule="auto"/>
              <w:rPr>
                <w:rFonts w:ascii="Times New Roman" w:eastAsia="Calibri" w:hAnsi="Times New Roman" w:cs="Times New Roman"/>
                <w:noProof w:val="0"/>
                <w:color w:val="000000"/>
                <w:sz w:val="24"/>
                <w:szCs w:val="24"/>
                <w:lang w:val="en-US" w:eastAsia="en-GB"/>
              </w:rPr>
            </w:pPr>
            <w:r>
              <w:rPr>
                <w:rFonts w:ascii="Times New Roman" w:eastAsia="Calibri" w:hAnsi="Times New Roman" w:cs="Times New Roman"/>
                <w:b/>
                <w:noProof w:val="0"/>
                <w:color w:val="000000"/>
                <w:sz w:val="24"/>
                <w:szCs w:val="24"/>
                <w:lang w:val="en-US" w:eastAsia="en-GB"/>
              </w:rPr>
              <w:t>R</w:t>
            </w:r>
            <w:r w:rsidR="000028B6" w:rsidRPr="0025772C">
              <w:rPr>
                <w:rFonts w:ascii="Times New Roman" w:eastAsia="Calibri" w:hAnsi="Times New Roman" w:cs="Times New Roman"/>
                <w:b/>
                <w:noProof w:val="0"/>
                <w:color w:val="000000"/>
                <w:sz w:val="24"/>
                <w:szCs w:val="24"/>
                <w:lang w:val="en-US" w:eastAsia="en-GB"/>
              </w:rPr>
              <w:t>emdesivir</w:t>
            </w:r>
            <w:r w:rsidR="000028B6" w:rsidRPr="0025772C">
              <w:rPr>
                <w:rFonts w:ascii="Times New Roman" w:eastAsia="Calibri" w:hAnsi="Times New Roman" w:cs="Times New Roman"/>
                <w:noProof w:val="0"/>
                <w:color w:val="000000"/>
                <w:sz w:val="24"/>
                <w:szCs w:val="24"/>
                <w:lang w:val="en-US" w:eastAsia="en-GB"/>
              </w:rPr>
              <w:t xml:space="preserve"> administered intravenously once daily for 5 days, with a loading dose of 200 mg on day 1, followed by a maintenance dose of 100 mg.</w:t>
            </w:r>
            <w:r>
              <w:rPr>
                <w:rFonts w:ascii="Times New Roman" w:eastAsia="Calibri" w:hAnsi="Times New Roman" w:cs="Times New Roman"/>
                <w:noProof w:val="0"/>
                <w:color w:val="000000"/>
                <w:sz w:val="24"/>
                <w:szCs w:val="24"/>
                <w:lang w:val="en-US" w:eastAsia="en-GB"/>
              </w:rPr>
              <w:t xml:space="preserve"> </w:t>
            </w:r>
            <w:r w:rsidR="000028B6" w:rsidRPr="0025772C">
              <w:rPr>
                <w:rFonts w:ascii="Times New Roman" w:eastAsia="Calibri" w:hAnsi="Times New Roman" w:cs="Times New Roman"/>
                <w:noProof w:val="0"/>
                <w:color w:val="000000"/>
                <w:sz w:val="24"/>
                <w:szCs w:val="24"/>
                <w:lang w:val="en-US" w:eastAsia="en-GB"/>
              </w:rPr>
              <w:t>If remdesivir</w:t>
            </w:r>
            <w:r>
              <w:rPr>
                <w:rFonts w:ascii="Times New Roman" w:eastAsia="Calibri" w:hAnsi="Times New Roman" w:cs="Times New Roman"/>
                <w:noProof w:val="0"/>
                <w:color w:val="000000"/>
                <w:sz w:val="24"/>
                <w:szCs w:val="24"/>
                <w:lang w:val="en-US" w:eastAsia="en-GB"/>
              </w:rPr>
              <w:t xml:space="preserve"> is</w:t>
            </w:r>
            <w:r w:rsidR="000028B6" w:rsidRPr="0025772C">
              <w:rPr>
                <w:rFonts w:ascii="Times New Roman" w:eastAsia="Calibri" w:hAnsi="Times New Roman" w:cs="Times New Roman"/>
                <w:noProof w:val="0"/>
                <w:color w:val="000000"/>
                <w:sz w:val="24"/>
                <w:szCs w:val="24"/>
                <w:lang w:val="en-US" w:eastAsia="en-GB"/>
              </w:rPr>
              <w:t xml:space="preserve"> not available high antibody titer </w:t>
            </w:r>
            <w:r w:rsidR="000028B6" w:rsidRPr="0025772C">
              <w:rPr>
                <w:rFonts w:ascii="Times New Roman" w:eastAsia="Calibri" w:hAnsi="Times New Roman" w:cs="Times New Roman"/>
                <w:bCs/>
                <w:noProof w:val="0"/>
                <w:color w:val="000000"/>
                <w:sz w:val="24"/>
                <w:szCs w:val="24"/>
                <w:lang w:val="en-US" w:eastAsia="en-GB"/>
              </w:rPr>
              <w:t>convalescent plasma</w:t>
            </w:r>
            <w:r w:rsidR="000028B6" w:rsidRPr="0025772C">
              <w:rPr>
                <w:rFonts w:ascii="Times New Roman" w:eastAsia="Calibri" w:hAnsi="Times New Roman" w:cs="Times New Roman"/>
                <w:noProof w:val="0"/>
                <w:color w:val="000000"/>
                <w:sz w:val="24"/>
                <w:szCs w:val="24"/>
                <w:lang w:val="en-US" w:eastAsia="en-GB"/>
              </w:rPr>
              <w:t xml:space="preserve"> can be considered.</w:t>
            </w:r>
          </w:p>
          <w:p w14:paraId="4464BC71" w14:textId="77777777" w:rsidR="000028B6" w:rsidRPr="0025772C" w:rsidRDefault="000028B6" w:rsidP="009038EB">
            <w:pPr>
              <w:spacing w:after="0" w:line="480" w:lineRule="auto"/>
              <w:rPr>
                <w:rFonts w:ascii="Times New Roman" w:eastAsia="Calibri" w:hAnsi="Times New Roman" w:cs="Times New Roman"/>
                <w:noProof w:val="0"/>
                <w:color w:val="000000"/>
                <w:sz w:val="24"/>
                <w:szCs w:val="24"/>
                <w:lang w:val="en-US" w:eastAsia="en-GB"/>
              </w:rPr>
            </w:pPr>
          </w:p>
        </w:tc>
        <w:tc>
          <w:tcPr>
            <w:tcW w:w="3255" w:type="dxa"/>
            <w:shd w:val="clear" w:color="auto" w:fill="auto"/>
            <w:tcMar>
              <w:left w:w="28" w:type="dxa"/>
              <w:right w:w="28" w:type="dxa"/>
            </w:tcMar>
          </w:tcPr>
          <w:p w14:paraId="679E15C9"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low-molecular-weight heparin at prophylactic or therapeutic doses</w:t>
            </w:r>
          </w:p>
          <w:p w14:paraId="36B6BEF3"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 xml:space="preserve">dexamethasone in patients receiving remdesivir and oxygen therapy, iv or po 4-8 mg daily; should not be used in the first week of the disease </w:t>
            </w:r>
            <w:r w:rsidRPr="0025772C">
              <w:rPr>
                <w:rFonts w:ascii="Times New Roman" w:eastAsia="Calibri" w:hAnsi="Times New Roman" w:cs="Times New Roman"/>
                <w:noProof w:val="0"/>
                <w:color w:val="000000"/>
                <w:sz w:val="24"/>
                <w:szCs w:val="24"/>
                <w:lang w:val="en-US" w:eastAsia="en-GB"/>
              </w:rPr>
              <w:lastRenderedPageBreak/>
              <w:t xml:space="preserve">if remdesivir is not administered. </w:t>
            </w:r>
          </w:p>
          <w:p w14:paraId="1BC83E94"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antibiotic therapy in case of secondary bacterial infection</w:t>
            </w:r>
          </w:p>
          <w:p w14:paraId="6C15867C"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symptomatic treatment</w:t>
            </w:r>
          </w:p>
          <w:p w14:paraId="10D53145"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oxygen therapy</w:t>
            </w:r>
          </w:p>
          <w:p w14:paraId="5DCFDF09"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oral or intravenous hydration</w:t>
            </w:r>
          </w:p>
        </w:tc>
      </w:tr>
      <w:tr w:rsidR="000028B6" w:rsidRPr="0025772C" w14:paraId="47E8B73A" w14:textId="77777777" w:rsidTr="00292B45">
        <w:tc>
          <w:tcPr>
            <w:tcW w:w="2155" w:type="dxa"/>
            <w:shd w:val="clear" w:color="auto" w:fill="auto"/>
            <w:tcMar>
              <w:left w:w="28" w:type="dxa"/>
              <w:right w:w="28" w:type="dxa"/>
            </w:tcMar>
          </w:tcPr>
          <w:p w14:paraId="0B5CC515" w14:textId="77777777" w:rsidR="000028B6" w:rsidRPr="0025772C" w:rsidRDefault="000028B6" w:rsidP="009038EB">
            <w:pPr>
              <w:spacing w:after="0" w:line="480" w:lineRule="auto"/>
              <w:contextualSpacing/>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lastRenderedPageBreak/>
              <w:t xml:space="preserve">Stage 3: </w:t>
            </w:r>
          </w:p>
          <w:p w14:paraId="01015D99" w14:textId="77777777" w:rsidR="000028B6" w:rsidRPr="0025772C" w:rsidRDefault="000028B6" w:rsidP="009038EB">
            <w:pPr>
              <w:spacing w:after="0" w:line="480" w:lineRule="auto"/>
              <w:ind w:left="110"/>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b/>
                <w:noProof w:val="0"/>
                <w:color w:val="000000"/>
                <w:sz w:val="24"/>
                <w:szCs w:val="24"/>
                <w:lang w:val="en-US" w:eastAsia="en-GB"/>
              </w:rPr>
              <w:t xml:space="preserve">respiratory failure </w:t>
            </w:r>
            <w:r w:rsidRPr="0025772C">
              <w:rPr>
                <w:rFonts w:ascii="Times New Roman" w:eastAsia="Calibri" w:hAnsi="Times New Roman" w:cs="Times New Roman"/>
                <w:noProof w:val="0"/>
                <w:color w:val="000000"/>
                <w:sz w:val="24"/>
                <w:szCs w:val="24"/>
                <w:lang w:val="en-US" w:eastAsia="en-GB"/>
              </w:rPr>
              <w:t>(cytokine storm)</w:t>
            </w:r>
          </w:p>
          <w:p w14:paraId="2C705514"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SpO</w:t>
            </w:r>
            <w:r w:rsidRPr="0025772C">
              <w:rPr>
                <w:rFonts w:ascii="Times New Roman" w:eastAsia="Calibri" w:hAnsi="Times New Roman" w:cs="Times New Roman"/>
                <w:noProof w:val="0"/>
                <w:color w:val="000000"/>
                <w:sz w:val="24"/>
                <w:szCs w:val="24"/>
                <w:vertAlign w:val="subscript"/>
                <w:lang w:val="en-US" w:eastAsia="en-GB"/>
              </w:rPr>
              <w:t>2</w:t>
            </w:r>
            <w:r w:rsidRPr="0025772C">
              <w:rPr>
                <w:rFonts w:ascii="Times New Roman" w:eastAsia="Calibri" w:hAnsi="Times New Roman" w:cs="Times New Roman"/>
                <w:noProof w:val="0"/>
                <w:color w:val="000000"/>
                <w:sz w:val="24"/>
                <w:szCs w:val="24"/>
                <w:lang w:val="en-US" w:eastAsia="en-GB"/>
              </w:rPr>
              <w:t xml:space="preserve"> &lt;90%</w:t>
            </w:r>
          </w:p>
          <w:p w14:paraId="6C7CB755"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usually week 2 after disease onset</w:t>
            </w:r>
          </w:p>
          <w:p w14:paraId="07921FC5"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hospitalization is required</w:t>
            </w:r>
          </w:p>
        </w:tc>
        <w:tc>
          <w:tcPr>
            <w:tcW w:w="3652" w:type="dxa"/>
            <w:shd w:val="clear" w:color="auto" w:fill="auto"/>
            <w:tcMar>
              <w:left w:w="28" w:type="dxa"/>
              <w:right w:w="28" w:type="dxa"/>
            </w:tcMar>
          </w:tcPr>
          <w:p w14:paraId="3AFA21AC" w14:textId="776DC2E2" w:rsidR="0025772C" w:rsidRDefault="0025772C" w:rsidP="009038EB">
            <w:pPr>
              <w:autoSpaceDE w:val="0"/>
              <w:autoSpaceDN w:val="0"/>
              <w:adjustRightInd w:val="0"/>
              <w:spacing w:after="0" w:line="480" w:lineRule="auto"/>
              <w:rPr>
                <w:rFonts w:ascii="Times New Roman" w:eastAsia="Calibri" w:hAnsi="Times New Roman" w:cs="Times New Roman"/>
                <w:noProof w:val="0"/>
                <w:color w:val="000000"/>
                <w:sz w:val="24"/>
                <w:szCs w:val="24"/>
                <w:lang w:val="en-US" w:eastAsia="en-GB"/>
              </w:rPr>
            </w:pPr>
            <w:r>
              <w:rPr>
                <w:rFonts w:ascii="Times New Roman" w:eastAsia="Calibri" w:hAnsi="Times New Roman" w:cs="Times New Roman"/>
                <w:b/>
                <w:noProof w:val="0"/>
                <w:color w:val="000000"/>
                <w:sz w:val="24"/>
                <w:szCs w:val="24"/>
                <w:lang w:val="en-US" w:eastAsia="en-GB"/>
              </w:rPr>
              <w:t>T</w:t>
            </w:r>
            <w:r w:rsidR="000028B6" w:rsidRPr="0025772C">
              <w:rPr>
                <w:rFonts w:ascii="Times New Roman" w:eastAsia="Calibri" w:hAnsi="Times New Roman" w:cs="Times New Roman"/>
                <w:b/>
                <w:noProof w:val="0"/>
                <w:color w:val="000000"/>
                <w:sz w:val="24"/>
                <w:szCs w:val="24"/>
                <w:lang w:val="en-US" w:eastAsia="en-GB"/>
              </w:rPr>
              <w:t xml:space="preserve">ocilizumab </w:t>
            </w:r>
            <w:r w:rsidR="000028B6" w:rsidRPr="0025772C">
              <w:rPr>
                <w:rFonts w:ascii="Times New Roman" w:eastAsia="Calibri" w:hAnsi="Times New Roman" w:cs="Times New Roman"/>
                <w:noProof w:val="0"/>
                <w:color w:val="000000"/>
                <w:sz w:val="24"/>
                <w:szCs w:val="24"/>
                <w:lang w:val="en-US" w:eastAsia="en-GB"/>
              </w:rPr>
              <w:t>(in patients with IL-6 &gt;</w:t>
            </w:r>
            <w:r w:rsidR="000028B6" w:rsidRPr="0025772C">
              <w:rPr>
                <w:rFonts w:ascii="Times New Roman" w:eastAsia="Calibri" w:hAnsi="Times New Roman" w:cs="Times New Roman"/>
                <w:noProof w:val="0"/>
                <w:color w:val="000000" w:themeColor="text1"/>
                <w:sz w:val="24"/>
                <w:szCs w:val="24"/>
                <w:lang w:val="en-US" w:eastAsia="en-GB"/>
              </w:rPr>
              <w:t>100 pg/ml) is used in single dose of 800 mg iv if patient’s body weight (PBW) &gt;90 kg; 600 mg iv if PBW &gt;65 kg and ≤90 kg; 400 mg iv if PBW &gt;40 kg and ≤65 kg and 8 mg/kg iv if PBW ≤40 kg. The second dose can be administered 8-24 hours after the first one, if the patient’s general condition has not improved</w:t>
            </w:r>
            <w:r>
              <w:rPr>
                <w:rFonts w:ascii="Times New Roman" w:eastAsia="Calibri" w:hAnsi="Times New Roman" w:cs="Times New Roman"/>
                <w:noProof w:val="0"/>
                <w:color w:val="000000" w:themeColor="text1"/>
                <w:sz w:val="24"/>
                <w:szCs w:val="24"/>
                <w:lang w:val="en-US" w:eastAsia="en-GB"/>
              </w:rPr>
              <w:t>;</w:t>
            </w:r>
            <w:r w:rsidR="000028B6" w:rsidRPr="0025772C">
              <w:rPr>
                <w:rFonts w:ascii="Times New Roman" w:eastAsia="Calibri" w:hAnsi="Times New Roman" w:cs="Times New Roman"/>
                <w:noProof w:val="0"/>
                <w:color w:val="000000" w:themeColor="text1"/>
                <w:sz w:val="24"/>
                <w:szCs w:val="24"/>
                <w:lang w:val="en-US" w:eastAsia="en-GB"/>
              </w:rPr>
              <w:t xml:space="preserve"> </w:t>
            </w:r>
            <w:r w:rsidR="000028B6" w:rsidRPr="0025772C">
              <w:rPr>
                <w:rFonts w:ascii="Times New Roman" w:eastAsia="Calibri" w:hAnsi="Times New Roman" w:cs="Times New Roman"/>
                <w:noProof w:val="0"/>
                <w:color w:val="000000"/>
                <w:sz w:val="24"/>
                <w:szCs w:val="24"/>
                <w:lang w:val="en-US" w:eastAsia="en-GB"/>
              </w:rPr>
              <w:t xml:space="preserve">and/or </w:t>
            </w:r>
          </w:p>
          <w:p w14:paraId="2455B10D" w14:textId="79B44E83" w:rsidR="000028B6" w:rsidRPr="0025772C" w:rsidRDefault="0025772C" w:rsidP="009038EB">
            <w:pPr>
              <w:autoSpaceDE w:val="0"/>
              <w:autoSpaceDN w:val="0"/>
              <w:adjustRightInd w:val="0"/>
              <w:spacing w:after="0" w:line="480" w:lineRule="auto"/>
              <w:rPr>
                <w:rFonts w:ascii="Times New Roman" w:hAnsi="Times New Roman" w:cs="Times New Roman"/>
                <w:color w:val="FF0000"/>
                <w:sz w:val="24"/>
                <w:szCs w:val="24"/>
                <w:lang w:val="en-US" w:eastAsia="en-GB"/>
              </w:rPr>
            </w:pPr>
            <w:r>
              <w:rPr>
                <w:rFonts w:ascii="Times New Roman" w:hAnsi="Times New Roman" w:cs="Times New Roman"/>
                <w:b/>
                <w:color w:val="000000" w:themeColor="text1"/>
                <w:sz w:val="24"/>
                <w:szCs w:val="24"/>
                <w:lang w:val="en-US"/>
              </w:rPr>
              <w:t>D</w:t>
            </w:r>
            <w:r w:rsidR="000028B6" w:rsidRPr="0025772C">
              <w:rPr>
                <w:rFonts w:ascii="Times New Roman" w:hAnsi="Times New Roman" w:cs="Times New Roman"/>
                <w:b/>
                <w:color w:val="000000" w:themeColor="text1"/>
                <w:sz w:val="24"/>
                <w:szCs w:val="24"/>
                <w:lang w:val="en-US"/>
              </w:rPr>
              <w:t>examethasone phosphate</w:t>
            </w:r>
            <w:r w:rsidR="000028B6" w:rsidRPr="0025772C">
              <w:rPr>
                <w:rFonts w:ascii="Times New Roman" w:hAnsi="Times New Roman" w:cs="Times New Roman"/>
                <w:color w:val="000000" w:themeColor="text1"/>
                <w:sz w:val="24"/>
                <w:szCs w:val="24"/>
                <w:lang w:val="en-US" w:eastAsia="en-GB"/>
              </w:rPr>
              <w:t xml:space="preserve"> administered intravenously at a daily dose of 6-8 mg* for 7-10 days.</w:t>
            </w:r>
          </w:p>
        </w:tc>
        <w:tc>
          <w:tcPr>
            <w:tcW w:w="3255" w:type="dxa"/>
            <w:shd w:val="clear" w:color="auto" w:fill="auto"/>
            <w:tcMar>
              <w:left w:w="28" w:type="dxa"/>
              <w:right w:w="28" w:type="dxa"/>
            </w:tcMar>
          </w:tcPr>
          <w:p w14:paraId="067603E9"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low-molecular-weight heparin at prophylactic or therapeutic doses</w:t>
            </w:r>
          </w:p>
          <w:p w14:paraId="7880C05B"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antibiotic therapy in case of secondary bacterial infection</w:t>
            </w:r>
          </w:p>
          <w:p w14:paraId="7E606488"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symptomatic treatment</w:t>
            </w:r>
          </w:p>
          <w:p w14:paraId="52FDB0D0"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low-/high-flow oxygen therapy</w:t>
            </w:r>
          </w:p>
          <w:p w14:paraId="6974FBB1"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 xml:space="preserve">intravenous hydration </w:t>
            </w:r>
          </w:p>
        </w:tc>
      </w:tr>
      <w:tr w:rsidR="000028B6" w:rsidRPr="0025772C" w14:paraId="2812724F" w14:textId="77777777" w:rsidTr="00292B45">
        <w:tc>
          <w:tcPr>
            <w:tcW w:w="2155" w:type="dxa"/>
            <w:shd w:val="clear" w:color="auto" w:fill="auto"/>
            <w:tcMar>
              <w:left w:w="28" w:type="dxa"/>
              <w:right w:w="28" w:type="dxa"/>
            </w:tcMar>
          </w:tcPr>
          <w:p w14:paraId="45CA0490" w14:textId="77777777" w:rsidR="000028B6" w:rsidRPr="0025772C" w:rsidRDefault="000028B6" w:rsidP="009038EB">
            <w:pPr>
              <w:spacing w:after="0" w:line="480" w:lineRule="auto"/>
              <w:contextualSpacing/>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t>Stage 4:</w:t>
            </w:r>
          </w:p>
          <w:p w14:paraId="721DCFA4" w14:textId="77777777" w:rsidR="000028B6" w:rsidRPr="0025772C" w:rsidRDefault="000028B6" w:rsidP="009038EB">
            <w:pPr>
              <w:spacing w:after="0" w:line="480" w:lineRule="auto"/>
              <w:rPr>
                <w:rFonts w:ascii="Times New Roman" w:eastAsia="Calibri" w:hAnsi="Times New Roman" w:cs="Times New Roman"/>
                <w:b/>
                <w:bCs/>
                <w:noProof w:val="0"/>
                <w:color w:val="000000"/>
                <w:sz w:val="24"/>
                <w:szCs w:val="24"/>
                <w:lang w:val="en-US" w:eastAsia="en-GB"/>
              </w:rPr>
            </w:pPr>
            <w:r w:rsidRPr="0025772C">
              <w:rPr>
                <w:rFonts w:ascii="Times New Roman" w:eastAsia="Calibri" w:hAnsi="Times New Roman" w:cs="Times New Roman"/>
                <w:b/>
                <w:bCs/>
                <w:noProof w:val="0"/>
                <w:color w:val="000000"/>
                <w:sz w:val="24"/>
                <w:szCs w:val="24"/>
                <w:lang w:val="en-US" w:eastAsia="en-GB"/>
              </w:rPr>
              <w:t xml:space="preserve">  ARDS</w:t>
            </w:r>
          </w:p>
          <w:p w14:paraId="7CB3C3C8"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lastRenderedPageBreak/>
              <w:t>unsuccessful pharmacotherapy to date</w:t>
            </w:r>
          </w:p>
          <w:p w14:paraId="176ABD94"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need for mechanical ventilation</w:t>
            </w:r>
          </w:p>
          <w:p w14:paraId="74F79C39" w14:textId="77777777" w:rsidR="000028B6" w:rsidRPr="0025772C" w:rsidRDefault="000028B6" w:rsidP="009038EB">
            <w:pPr>
              <w:numPr>
                <w:ilvl w:val="0"/>
                <w:numId w:val="9"/>
              </w:numPr>
              <w:spacing w:after="0" w:line="480" w:lineRule="auto"/>
              <w:ind w:left="252" w:hanging="252"/>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ICU treatment is required</w:t>
            </w:r>
          </w:p>
        </w:tc>
        <w:tc>
          <w:tcPr>
            <w:tcW w:w="3652" w:type="dxa"/>
            <w:shd w:val="clear" w:color="auto" w:fill="auto"/>
            <w:tcMar>
              <w:left w:w="28" w:type="dxa"/>
              <w:right w:w="28" w:type="dxa"/>
            </w:tcMar>
          </w:tcPr>
          <w:p w14:paraId="73E5E3F7" w14:textId="2CE4CEFB" w:rsidR="0025772C" w:rsidRDefault="0025772C" w:rsidP="009038EB">
            <w:pPr>
              <w:autoSpaceDE w:val="0"/>
              <w:autoSpaceDN w:val="0"/>
              <w:adjustRightInd w:val="0"/>
              <w:spacing w:before="100" w:beforeAutospacing="1" w:after="0" w:line="480" w:lineRule="auto"/>
              <w:rPr>
                <w:rFonts w:ascii="Times New Roman" w:eastAsia="Calibri" w:hAnsi="Times New Roman" w:cs="Times New Roman"/>
                <w:noProof w:val="0"/>
                <w:color w:val="000000"/>
                <w:sz w:val="24"/>
                <w:szCs w:val="24"/>
                <w:lang w:val="en-US" w:eastAsia="en-GB"/>
              </w:rPr>
            </w:pPr>
            <w:r>
              <w:rPr>
                <w:rFonts w:ascii="Times New Roman" w:eastAsia="Times New Roman" w:hAnsi="Times New Roman" w:cs="Times New Roman"/>
                <w:b/>
                <w:noProof w:val="0"/>
                <w:color w:val="000000" w:themeColor="text1"/>
                <w:sz w:val="24"/>
                <w:szCs w:val="24"/>
                <w:lang w:val="en-US" w:eastAsia="pl-PL"/>
              </w:rPr>
              <w:lastRenderedPageBreak/>
              <w:t>D</w:t>
            </w:r>
            <w:r w:rsidR="000028B6" w:rsidRPr="0025772C">
              <w:rPr>
                <w:rFonts w:ascii="Times New Roman" w:eastAsia="Times New Roman" w:hAnsi="Times New Roman" w:cs="Times New Roman"/>
                <w:b/>
                <w:noProof w:val="0"/>
                <w:color w:val="000000" w:themeColor="text1"/>
                <w:sz w:val="24"/>
                <w:szCs w:val="24"/>
                <w:lang w:val="en-US" w:eastAsia="pl-PL"/>
              </w:rPr>
              <w:t>examethasone phosphate</w:t>
            </w:r>
            <w:r w:rsidR="000028B6" w:rsidRPr="0025772C">
              <w:rPr>
                <w:rFonts w:ascii="Times New Roman" w:eastAsia="Times New Roman" w:hAnsi="Times New Roman" w:cs="Times New Roman"/>
                <w:noProof w:val="0"/>
                <w:color w:val="000000" w:themeColor="text1"/>
                <w:sz w:val="24"/>
                <w:szCs w:val="24"/>
                <w:lang w:val="en-US" w:eastAsia="pl-PL"/>
              </w:rPr>
              <w:t xml:space="preserve"> administered intravenously at a daily dose of 6-8 mg* for 7-10 days. If dexamethasone is not available, </w:t>
            </w:r>
            <w:r w:rsidR="000028B6" w:rsidRPr="0025772C">
              <w:rPr>
                <w:rFonts w:ascii="Times New Roman" w:eastAsia="Times New Roman" w:hAnsi="Times New Roman" w:cs="Times New Roman"/>
                <w:noProof w:val="0"/>
                <w:color w:val="000000" w:themeColor="text1"/>
                <w:sz w:val="24"/>
                <w:szCs w:val="24"/>
                <w:lang w:val="en-US" w:eastAsia="pl-PL"/>
              </w:rPr>
              <w:lastRenderedPageBreak/>
              <w:t>other glucocorticosteroids can be used at corresponding doses, ie.:</w:t>
            </w:r>
            <w:r>
              <w:rPr>
                <w:rFonts w:ascii="Times New Roman" w:eastAsia="Times New Roman" w:hAnsi="Times New Roman" w:cs="Times New Roman"/>
                <w:noProof w:val="0"/>
                <w:color w:val="000000" w:themeColor="text1"/>
                <w:sz w:val="24"/>
                <w:szCs w:val="24"/>
                <w:lang w:val="en-US" w:eastAsia="pl-PL"/>
              </w:rPr>
              <w:t xml:space="preserve"> </w:t>
            </w:r>
            <w:r w:rsidR="000028B6" w:rsidRPr="0025772C">
              <w:rPr>
                <w:rFonts w:ascii="Times New Roman" w:eastAsia="Calibri" w:hAnsi="Times New Roman" w:cs="Times New Roman"/>
                <w:noProof w:val="0"/>
                <w:color w:val="000000"/>
                <w:sz w:val="24"/>
                <w:szCs w:val="24"/>
                <w:lang w:val="en-US" w:eastAsia="en-GB"/>
              </w:rPr>
              <w:t>hydrocortisone: 50 mg iv. 3 times daily</w:t>
            </w:r>
            <w:r>
              <w:rPr>
                <w:rFonts w:ascii="Times New Roman" w:eastAsia="Calibri" w:hAnsi="Times New Roman" w:cs="Times New Roman"/>
                <w:noProof w:val="0"/>
                <w:color w:val="000000"/>
                <w:sz w:val="24"/>
                <w:szCs w:val="24"/>
                <w:lang w:val="en-US" w:eastAsia="en-GB"/>
              </w:rPr>
              <w:t xml:space="preserve">, </w:t>
            </w:r>
            <w:r w:rsidR="000028B6" w:rsidRPr="0025772C">
              <w:rPr>
                <w:rFonts w:ascii="Times New Roman" w:eastAsia="Calibri" w:hAnsi="Times New Roman" w:cs="Times New Roman"/>
                <w:noProof w:val="0"/>
                <w:color w:val="000000"/>
                <w:sz w:val="24"/>
                <w:szCs w:val="24"/>
                <w:lang w:val="en-US" w:eastAsia="en-GB"/>
              </w:rPr>
              <w:t>methylprednisone: 10 mg iv. 4 times daily</w:t>
            </w:r>
            <w:r>
              <w:rPr>
                <w:rFonts w:ascii="Times New Roman" w:eastAsia="Calibri" w:hAnsi="Times New Roman" w:cs="Times New Roman"/>
                <w:noProof w:val="0"/>
                <w:color w:val="000000"/>
                <w:sz w:val="24"/>
                <w:szCs w:val="24"/>
                <w:lang w:val="en-US" w:eastAsia="en-GB"/>
              </w:rPr>
              <w:t xml:space="preserve">, </w:t>
            </w:r>
            <w:r w:rsidR="000028B6" w:rsidRPr="0025772C">
              <w:rPr>
                <w:rFonts w:ascii="Times New Roman" w:eastAsia="Calibri" w:hAnsi="Times New Roman" w:cs="Times New Roman"/>
                <w:noProof w:val="0"/>
                <w:color w:val="000000"/>
                <w:sz w:val="24"/>
                <w:szCs w:val="24"/>
                <w:lang w:val="en-US" w:eastAsia="en-GB"/>
              </w:rPr>
              <w:t>prednisone: 40 mg po. once daily</w:t>
            </w:r>
            <w:r>
              <w:rPr>
                <w:rFonts w:ascii="Times New Roman" w:eastAsia="Calibri" w:hAnsi="Times New Roman" w:cs="Times New Roman"/>
                <w:noProof w:val="0"/>
                <w:color w:val="000000"/>
                <w:sz w:val="24"/>
                <w:szCs w:val="24"/>
                <w:lang w:val="en-US" w:eastAsia="en-GB"/>
              </w:rPr>
              <w:t>; and/or</w:t>
            </w:r>
          </w:p>
          <w:p w14:paraId="63409BFA" w14:textId="52E0895E" w:rsidR="000028B6" w:rsidRPr="0025772C" w:rsidRDefault="0025772C" w:rsidP="009038EB">
            <w:pPr>
              <w:autoSpaceDE w:val="0"/>
              <w:autoSpaceDN w:val="0"/>
              <w:adjustRightInd w:val="0"/>
              <w:spacing w:after="0" w:line="480" w:lineRule="auto"/>
              <w:rPr>
                <w:rFonts w:ascii="Times New Roman" w:eastAsia="Calibri" w:hAnsi="Times New Roman" w:cs="Times New Roman"/>
                <w:noProof w:val="0"/>
                <w:color w:val="000000"/>
                <w:sz w:val="24"/>
                <w:szCs w:val="24"/>
                <w:lang w:val="en-US" w:eastAsia="en-GB"/>
              </w:rPr>
            </w:pPr>
            <w:r>
              <w:rPr>
                <w:rFonts w:ascii="Times New Roman" w:eastAsia="Calibri" w:hAnsi="Times New Roman" w:cs="Times New Roman"/>
                <w:b/>
                <w:bCs/>
                <w:noProof w:val="0"/>
                <w:color w:val="000000"/>
                <w:sz w:val="24"/>
                <w:szCs w:val="24"/>
                <w:lang w:val="en-US" w:eastAsia="en-GB"/>
              </w:rPr>
              <w:t>T</w:t>
            </w:r>
            <w:r w:rsidR="000028B6" w:rsidRPr="0025772C">
              <w:rPr>
                <w:rFonts w:ascii="Times New Roman" w:eastAsia="Calibri" w:hAnsi="Times New Roman" w:cs="Times New Roman"/>
                <w:b/>
                <w:bCs/>
                <w:noProof w:val="0"/>
                <w:color w:val="000000"/>
                <w:sz w:val="24"/>
                <w:szCs w:val="24"/>
                <w:lang w:val="en-US" w:eastAsia="en-GB"/>
              </w:rPr>
              <w:t>ocilizumab</w:t>
            </w:r>
            <w:r w:rsidR="000028B6" w:rsidRPr="0025772C">
              <w:rPr>
                <w:rFonts w:ascii="Times New Roman" w:eastAsia="Calibri" w:hAnsi="Times New Roman" w:cs="Times New Roman"/>
                <w:noProof w:val="0"/>
                <w:color w:val="000000"/>
                <w:sz w:val="24"/>
                <w:szCs w:val="24"/>
                <w:lang w:val="en-US" w:eastAsia="en-GB"/>
              </w:rPr>
              <w:t xml:space="preserve"> combined with dexamethasone may be considered in mechanically ventilated individuals</w:t>
            </w:r>
            <w:r>
              <w:rPr>
                <w:rFonts w:ascii="Times New Roman" w:eastAsia="Calibri" w:hAnsi="Times New Roman" w:cs="Times New Roman"/>
                <w:noProof w:val="0"/>
                <w:color w:val="000000"/>
                <w:sz w:val="24"/>
                <w:szCs w:val="24"/>
                <w:lang w:val="en-US" w:eastAsia="en-GB"/>
              </w:rPr>
              <w:t xml:space="preserve"> (</w:t>
            </w:r>
            <w:r w:rsidR="000028B6" w:rsidRPr="0025772C">
              <w:rPr>
                <w:rFonts w:ascii="Times New Roman" w:eastAsia="Calibri" w:hAnsi="Times New Roman" w:cs="Times New Roman"/>
                <w:noProof w:val="0"/>
                <w:color w:val="000000"/>
                <w:sz w:val="24"/>
                <w:szCs w:val="24"/>
                <w:lang w:val="en-US" w:eastAsia="en-GB"/>
              </w:rPr>
              <w:t>should be started early, within the first day of treatment</w:t>
            </w:r>
            <w:r>
              <w:rPr>
                <w:rFonts w:ascii="Times New Roman" w:eastAsia="Calibri" w:hAnsi="Times New Roman" w:cs="Times New Roman"/>
                <w:noProof w:val="0"/>
                <w:color w:val="000000"/>
                <w:sz w:val="24"/>
                <w:szCs w:val="24"/>
                <w:lang w:val="en-US" w:eastAsia="en-GB"/>
              </w:rPr>
              <w:t>).</w:t>
            </w:r>
          </w:p>
        </w:tc>
        <w:tc>
          <w:tcPr>
            <w:tcW w:w="3255" w:type="dxa"/>
            <w:shd w:val="clear" w:color="auto" w:fill="auto"/>
            <w:tcMar>
              <w:left w:w="28" w:type="dxa"/>
              <w:right w:w="28" w:type="dxa"/>
            </w:tcMar>
          </w:tcPr>
          <w:p w14:paraId="40ACBF3E"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lastRenderedPageBreak/>
              <w:t>high-flow oxygen therapy</w:t>
            </w:r>
          </w:p>
          <w:p w14:paraId="3E318198"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non-invasive ventilation</w:t>
            </w:r>
          </w:p>
          <w:p w14:paraId="0C45766B"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mechanical ventilation</w:t>
            </w:r>
          </w:p>
          <w:p w14:paraId="5FDCA450"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ECMO in selected cases</w:t>
            </w:r>
          </w:p>
          <w:p w14:paraId="2E9868CE"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lastRenderedPageBreak/>
              <w:t>low-molecular-weight heparin in prophylactic or therapeutic doses depending on clinical scenario</w:t>
            </w:r>
          </w:p>
          <w:p w14:paraId="27F97536" w14:textId="77777777" w:rsidR="000028B6" w:rsidRPr="0025772C" w:rsidRDefault="000028B6" w:rsidP="009038EB">
            <w:pPr>
              <w:numPr>
                <w:ilvl w:val="0"/>
                <w:numId w:val="6"/>
              </w:numPr>
              <w:spacing w:after="0" w:line="480" w:lineRule="auto"/>
              <w:ind w:left="236" w:hanging="189"/>
              <w:contextualSpacing/>
              <w:rPr>
                <w:rFonts w:ascii="Times New Roman" w:eastAsia="Calibri" w:hAnsi="Times New Roman" w:cs="Times New Roman"/>
                <w:noProof w:val="0"/>
                <w:color w:val="000000"/>
                <w:sz w:val="24"/>
                <w:szCs w:val="24"/>
                <w:lang w:val="en-US" w:eastAsia="en-GB"/>
              </w:rPr>
            </w:pPr>
            <w:r w:rsidRPr="0025772C">
              <w:rPr>
                <w:rFonts w:ascii="Times New Roman" w:eastAsia="Calibri" w:hAnsi="Times New Roman" w:cs="Times New Roman"/>
                <w:noProof w:val="0"/>
                <w:color w:val="000000"/>
                <w:sz w:val="24"/>
                <w:szCs w:val="24"/>
                <w:lang w:val="en-US" w:eastAsia="en-GB"/>
              </w:rPr>
              <w:t>empiric antibiotic therapy is strongly not recommended unless there are evident signs of secondary bacterial infection</w:t>
            </w:r>
          </w:p>
        </w:tc>
      </w:tr>
    </w:tbl>
    <w:p w14:paraId="66B8046F" w14:textId="77777777" w:rsidR="000028B6" w:rsidRPr="000028B6" w:rsidRDefault="000028B6"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lastRenderedPageBreak/>
        <w:t>* according to manufacturers, 6 or 8 mg/ml dexamethasone phosphate contained in the available injection solutions correspond respectively 4.95 and 6.6 mg/ml dexamethasone.</w:t>
      </w:r>
    </w:p>
    <w:p w14:paraId="3C8EF7F5" w14:textId="35344162" w:rsidR="000028B6" w:rsidRDefault="000028B6" w:rsidP="000028B6">
      <w:pPr>
        <w:spacing w:line="480" w:lineRule="auto"/>
        <w:rPr>
          <w:rFonts w:ascii="Times New Roman" w:hAnsi="Times New Roman" w:cs="Times New Roman"/>
          <w:noProof w:val="0"/>
          <w:sz w:val="24"/>
          <w:lang w:val="en-US"/>
        </w:rPr>
      </w:pPr>
      <w:r w:rsidRPr="000028B6">
        <w:rPr>
          <w:rFonts w:ascii="Times New Roman" w:hAnsi="Times New Roman" w:cs="Times New Roman"/>
          <w:noProof w:val="0"/>
          <w:sz w:val="24"/>
          <w:lang w:val="en-US"/>
        </w:rPr>
        <w:t>Abbreviations: ARDS, acute respiratory distress syndrome; ECMO, extracorporeal membrane oxygenation; ICU, intensive care unit; IL‑6, interleukin 6; SpO2, oxygen saturation as measured by pulse oximetry</w:t>
      </w:r>
      <w:r w:rsidR="0025772C">
        <w:rPr>
          <w:rFonts w:ascii="Times New Roman" w:hAnsi="Times New Roman" w:cs="Times New Roman"/>
          <w:noProof w:val="0"/>
          <w:sz w:val="24"/>
          <w:lang w:val="en-US"/>
        </w:rPr>
        <w:t>.</w:t>
      </w:r>
    </w:p>
    <w:p w14:paraId="30BD26E4" w14:textId="6389CDF2" w:rsidR="0025772C" w:rsidRDefault="0025772C">
      <w:pPr>
        <w:rPr>
          <w:rFonts w:ascii="Times New Roman" w:hAnsi="Times New Roman" w:cs="Times New Roman"/>
          <w:noProof w:val="0"/>
          <w:sz w:val="24"/>
          <w:lang w:val="en-US"/>
        </w:rPr>
      </w:pPr>
      <w:r>
        <w:rPr>
          <w:rFonts w:ascii="Times New Roman" w:hAnsi="Times New Roman" w:cs="Times New Roman"/>
          <w:noProof w:val="0"/>
          <w:sz w:val="24"/>
          <w:lang w:val="en-US"/>
        </w:rPr>
        <w:br w:type="page"/>
      </w:r>
    </w:p>
    <w:p w14:paraId="68E7190E" w14:textId="77777777" w:rsidR="0025772C" w:rsidRPr="000028B6" w:rsidRDefault="0025772C" w:rsidP="0025772C">
      <w:pPr>
        <w:spacing w:after="0" w:line="480" w:lineRule="auto"/>
        <w:jc w:val="both"/>
        <w:rPr>
          <w:rFonts w:ascii="Times New Roman" w:hAnsi="Times New Roman" w:cs="Times New Roman"/>
          <w:noProof w:val="0"/>
          <w:sz w:val="24"/>
          <w:lang w:val="en-US"/>
        </w:rPr>
      </w:pPr>
      <w:r w:rsidRPr="000028B6">
        <w:rPr>
          <w:rFonts w:ascii="Times New Roman" w:hAnsi="Times New Roman" w:cs="Times New Roman"/>
          <w:noProof w:val="0"/>
          <w:sz w:val="24"/>
          <w:lang w:val="en-US"/>
        </w:rPr>
        <w:lastRenderedPageBreak/>
        <w:t>Table 2</w:t>
      </w:r>
    </w:p>
    <w:p w14:paraId="04B91A36" w14:textId="77777777" w:rsidR="0025772C" w:rsidRPr="000028B6" w:rsidRDefault="0025772C" w:rsidP="0025772C">
      <w:pPr>
        <w:spacing w:line="480" w:lineRule="auto"/>
        <w:jc w:val="both"/>
        <w:rPr>
          <w:rFonts w:ascii="Times New Roman" w:hAnsi="Times New Roman" w:cs="Times New Roman"/>
          <w:noProof w:val="0"/>
          <w:sz w:val="24"/>
          <w:lang w:val="en-US"/>
        </w:rPr>
      </w:pPr>
      <w:r w:rsidRPr="000028B6">
        <w:rPr>
          <w:rFonts w:ascii="Times New Roman" w:hAnsi="Times New Roman" w:cs="Times New Roman"/>
          <w:noProof w:val="0"/>
          <w:sz w:val="24"/>
          <w:lang w:val="en-US"/>
        </w:rPr>
        <w:t xml:space="preserve">The IMPROVE VTE risk-assessment model to guide prophylactic anticoagulation after discharge from hospital after the acute phase of COVID-19 [63]. A score of 2 or more suggests the need of prophylaxis. </w:t>
      </w:r>
    </w:p>
    <w:tbl>
      <w:tblPr>
        <w:tblStyle w:val="Tabela-Siatka"/>
        <w:tblW w:w="0" w:type="auto"/>
        <w:tblLook w:val="04A0" w:firstRow="1" w:lastRow="0" w:firstColumn="1" w:lastColumn="0" w:noHBand="0" w:noVBand="1"/>
      </w:tblPr>
      <w:tblGrid>
        <w:gridCol w:w="4773"/>
        <w:gridCol w:w="2139"/>
      </w:tblGrid>
      <w:tr w:rsidR="0025772C" w:rsidRPr="000028B6" w14:paraId="450EFCB4" w14:textId="77777777" w:rsidTr="00292B45">
        <w:tc>
          <w:tcPr>
            <w:tcW w:w="4773" w:type="dxa"/>
          </w:tcPr>
          <w:p w14:paraId="4C2F4137"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Risk factor</w:t>
            </w:r>
          </w:p>
        </w:tc>
        <w:tc>
          <w:tcPr>
            <w:tcW w:w="2139" w:type="dxa"/>
          </w:tcPr>
          <w:p w14:paraId="4BE5AC47"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Points</w:t>
            </w:r>
          </w:p>
        </w:tc>
      </w:tr>
      <w:tr w:rsidR="0025772C" w:rsidRPr="000028B6" w14:paraId="423D843A" w14:textId="77777777" w:rsidTr="00292B45">
        <w:tc>
          <w:tcPr>
            <w:tcW w:w="4773" w:type="dxa"/>
          </w:tcPr>
          <w:p w14:paraId="6B016838"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Prior venous thromboembolism</w:t>
            </w:r>
          </w:p>
        </w:tc>
        <w:tc>
          <w:tcPr>
            <w:tcW w:w="2139" w:type="dxa"/>
          </w:tcPr>
          <w:p w14:paraId="30081C96"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3</w:t>
            </w:r>
          </w:p>
        </w:tc>
      </w:tr>
      <w:tr w:rsidR="0025772C" w:rsidRPr="000028B6" w14:paraId="1B326FCF" w14:textId="77777777" w:rsidTr="00292B45">
        <w:tc>
          <w:tcPr>
            <w:tcW w:w="4773" w:type="dxa"/>
          </w:tcPr>
          <w:p w14:paraId="4D0687D3"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Diagnosed thrombophilia</w:t>
            </w:r>
          </w:p>
        </w:tc>
        <w:tc>
          <w:tcPr>
            <w:tcW w:w="2139" w:type="dxa"/>
          </w:tcPr>
          <w:p w14:paraId="0E9592EE"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2</w:t>
            </w:r>
          </w:p>
        </w:tc>
      </w:tr>
      <w:tr w:rsidR="0025772C" w:rsidRPr="000028B6" w14:paraId="0479A8BB" w14:textId="77777777" w:rsidTr="00292B45">
        <w:tc>
          <w:tcPr>
            <w:tcW w:w="4773" w:type="dxa"/>
          </w:tcPr>
          <w:p w14:paraId="78F80647"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Current lower limb paralysis</w:t>
            </w:r>
          </w:p>
        </w:tc>
        <w:tc>
          <w:tcPr>
            <w:tcW w:w="2139" w:type="dxa"/>
          </w:tcPr>
          <w:p w14:paraId="5E15C6D4"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2</w:t>
            </w:r>
          </w:p>
        </w:tc>
      </w:tr>
      <w:tr w:rsidR="0025772C" w:rsidRPr="000028B6" w14:paraId="09FD9F4F" w14:textId="77777777" w:rsidTr="00292B45">
        <w:tc>
          <w:tcPr>
            <w:tcW w:w="4773" w:type="dxa"/>
          </w:tcPr>
          <w:p w14:paraId="4A4ACF1F"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Current cancer</w:t>
            </w:r>
          </w:p>
        </w:tc>
        <w:tc>
          <w:tcPr>
            <w:tcW w:w="2139" w:type="dxa"/>
          </w:tcPr>
          <w:p w14:paraId="32F8B327"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2</w:t>
            </w:r>
          </w:p>
        </w:tc>
      </w:tr>
      <w:tr w:rsidR="0025772C" w:rsidRPr="000028B6" w14:paraId="6A11F317" w14:textId="77777777" w:rsidTr="00292B45">
        <w:tc>
          <w:tcPr>
            <w:tcW w:w="4773" w:type="dxa"/>
          </w:tcPr>
          <w:p w14:paraId="61D55FC1"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Immobilized for at least 7 days</w:t>
            </w:r>
          </w:p>
        </w:tc>
        <w:tc>
          <w:tcPr>
            <w:tcW w:w="2139" w:type="dxa"/>
          </w:tcPr>
          <w:p w14:paraId="51C768F2"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1</w:t>
            </w:r>
          </w:p>
        </w:tc>
      </w:tr>
      <w:tr w:rsidR="0025772C" w:rsidRPr="000028B6" w14:paraId="19284477" w14:textId="77777777" w:rsidTr="00292B45">
        <w:tc>
          <w:tcPr>
            <w:tcW w:w="4773" w:type="dxa"/>
          </w:tcPr>
          <w:p w14:paraId="4DA797C4"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Stay in ICU or coronary care unit</w:t>
            </w:r>
          </w:p>
        </w:tc>
        <w:tc>
          <w:tcPr>
            <w:tcW w:w="2139" w:type="dxa"/>
          </w:tcPr>
          <w:p w14:paraId="31760EF3"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1</w:t>
            </w:r>
          </w:p>
        </w:tc>
      </w:tr>
      <w:tr w:rsidR="0025772C" w:rsidRPr="000028B6" w14:paraId="4FF1E396" w14:textId="77777777" w:rsidTr="00292B45">
        <w:tc>
          <w:tcPr>
            <w:tcW w:w="4773" w:type="dxa"/>
          </w:tcPr>
          <w:p w14:paraId="38D747F2" w14:textId="77777777" w:rsidR="0025772C" w:rsidRPr="000028B6" w:rsidRDefault="0025772C" w:rsidP="00292B45">
            <w:pPr>
              <w:spacing w:line="480" w:lineRule="auto"/>
              <w:jc w:val="both"/>
              <w:rPr>
                <w:rFonts w:ascii="Times New Roman" w:hAnsi="Times New Roman" w:cs="Times New Roman"/>
                <w:noProof w:val="0"/>
                <w:sz w:val="24"/>
              </w:rPr>
            </w:pPr>
            <w:r w:rsidRPr="000028B6">
              <w:rPr>
                <w:rFonts w:ascii="Times New Roman" w:hAnsi="Times New Roman" w:cs="Times New Roman"/>
                <w:noProof w:val="0"/>
                <w:sz w:val="24"/>
              </w:rPr>
              <w:t>More than 60 years old</w:t>
            </w:r>
          </w:p>
        </w:tc>
        <w:tc>
          <w:tcPr>
            <w:tcW w:w="2139" w:type="dxa"/>
          </w:tcPr>
          <w:p w14:paraId="35EFEA07" w14:textId="77777777" w:rsidR="0025772C" w:rsidRPr="000028B6" w:rsidRDefault="0025772C" w:rsidP="00292B45">
            <w:pPr>
              <w:spacing w:line="480" w:lineRule="auto"/>
              <w:jc w:val="center"/>
              <w:rPr>
                <w:rFonts w:ascii="Times New Roman" w:hAnsi="Times New Roman" w:cs="Times New Roman"/>
                <w:noProof w:val="0"/>
                <w:sz w:val="24"/>
              </w:rPr>
            </w:pPr>
            <w:r w:rsidRPr="000028B6">
              <w:rPr>
                <w:rFonts w:ascii="Times New Roman" w:hAnsi="Times New Roman" w:cs="Times New Roman"/>
                <w:noProof w:val="0"/>
                <w:sz w:val="24"/>
              </w:rPr>
              <w:t>1</w:t>
            </w:r>
          </w:p>
        </w:tc>
      </w:tr>
    </w:tbl>
    <w:p w14:paraId="38AEA3F1" w14:textId="77777777" w:rsidR="0025772C" w:rsidRPr="000028B6" w:rsidRDefault="0025772C" w:rsidP="000028B6">
      <w:pPr>
        <w:spacing w:line="480" w:lineRule="auto"/>
        <w:rPr>
          <w:rFonts w:ascii="Times New Roman" w:hAnsi="Times New Roman" w:cs="Times New Roman"/>
          <w:noProof w:val="0"/>
          <w:sz w:val="24"/>
          <w:lang w:val="en-US"/>
        </w:rPr>
      </w:pPr>
    </w:p>
    <w:p w14:paraId="08A696DC" w14:textId="77777777" w:rsidR="000028B6" w:rsidRPr="000028B6" w:rsidRDefault="000028B6" w:rsidP="000028B6">
      <w:pPr>
        <w:spacing w:line="480" w:lineRule="auto"/>
        <w:rPr>
          <w:rFonts w:ascii="Times New Roman" w:hAnsi="Times New Roman" w:cs="Times New Roman"/>
          <w:noProof w:val="0"/>
          <w:color w:val="000000" w:themeColor="text1"/>
          <w:sz w:val="24"/>
          <w:szCs w:val="24"/>
          <w:lang w:val="en-US"/>
        </w:rPr>
      </w:pPr>
    </w:p>
    <w:sectPr w:rsidR="000028B6" w:rsidRPr="00002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524"/>
    <w:multiLevelType w:val="hybridMultilevel"/>
    <w:tmpl w:val="2BFCE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8125B"/>
    <w:multiLevelType w:val="hybridMultilevel"/>
    <w:tmpl w:val="DD6E7D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B41B2F"/>
    <w:multiLevelType w:val="hybridMultilevel"/>
    <w:tmpl w:val="1512A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D4DA1"/>
    <w:multiLevelType w:val="hybridMultilevel"/>
    <w:tmpl w:val="D57EFF3C"/>
    <w:lvl w:ilvl="0" w:tplc="FFFFFFFF">
      <w:start w:val="1"/>
      <w:numFmt w:val="bullet"/>
      <w:lvlText w:val=""/>
      <w:lvlJc w:val="left"/>
      <w:pPr>
        <w:ind w:left="119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540498"/>
    <w:multiLevelType w:val="hybridMultilevel"/>
    <w:tmpl w:val="D5325E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EF64229"/>
    <w:multiLevelType w:val="hybridMultilevel"/>
    <w:tmpl w:val="BBA89B4C"/>
    <w:lvl w:ilvl="0" w:tplc="FFFFFFFF">
      <w:start w:val="1"/>
      <w:numFmt w:val="decimal"/>
      <w:lvlText w:val="%1."/>
      <w:lvlJc w:val="left"/>
      <w:pPr>
        <w:ind w:left="470" w:hanging="360"/>
      </w:pPr>
      <w:rPr>
        <w:rFonts w:hint="default"/>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6" w15:restartNumberingAfterBreak="0">
    <w:nsid w:val="35F52356"/>
    <w:multiLevelType w:val="hybridMultilevel"/>
    <w:tmpl w:val="985A55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E870385"/>
    <w:multiLevelType w:val="hybridMultilevel"/>
    <w:tmpl w:val="57941BE2"/>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970" w:hanging="360"/>
      </w:pPr>
      <w:rPr>
        <w:rFonts w:ascii="Courier New" w:hAnsi="Courier New" w:cs="Courier New" w:hint="default"/>
      </w:rPr>
    </w:lvl>
    <w:lvl w:ilvl="2" w:tplc="04150005" w:tentative="1">
      <w:start w:val="1"/>
      <w:numFmt w:val="bullet"/>
      <w:lvlText w:val=""/>
      <w:lvlJc w:val="left"/>
      <w:pPr>
        <w:ind w:left="1690" w:hanging="360"/>
      </w:pPr>
      <w:rPr>
        <w:rFonts w:ascii="Wingdings" w:hAnsi="Wingdings" w:hint="default"/>
      </w:rPr>
    </w:lvl>
    <w:lvl w:ilvl="3" w:tplc="04150001" w:tentative="1">
      <w:start w:val="1"/>
      <w:numFmt w:val="bullet"/>
      <w:lvlText w:val=""/>
      <w:lvlJc w:val="left"/>
      <w:pPr>
        <w:ind w:left="2410" w:hanging="360"/>
      </w:pPr>
      <w:rPr>
        <w:rFonts w:ascii="Symbol" w:hAnsi="Symbol" w:hint="default"/>
      </w:rPr>
    </w:lvl>
    <w:lvl w:ilvl="4" w:tplc="04150003" w:tentative="1">
      <w:start w:val="1"/>
      <w:numFmt w:val="bullet"/>
      <w:lvlText w:val="o"/>
      <w:lvlJc w:val="left"/>
      <w:pPr>
        <w:ind w:left="3130" w:hanging="360"/>
      </w:pPr>
      <w:rPr>
        <w:rFonts w:ascii="Courier New" w:hAnsi="Courier New" w:cs="Courier New" w:hint="default"/>
      </w:rPr>
    </w:lvl>
    <w:lvl w:ilvl="5" w:tplc="04150005" w:tentative="1">
      <w:start w:val="1"/>
      <w:numFmt w:val="bullet"/>
      <w:lvlText w:val=""/>
      <w:lvlJc w:val="left"/>
      <w:pPr>
        <w:ind w:left="3850" w:hanging="360"/>
      </w:pPr>
      <w:rPr>
        <w:rFonts w:ascii="Wingdings" w:hAnsi="Wingdings" w:hint="default"/>
      </w:rPr>
    </w:lvl>
    <w:lvl w:ilvl="6" w:tplc="04150001" w:tentative="1">
      <w:start w:val="1"/>
      <w:numFmt w:val="bullet"/>
      <w:lvlText w:val=""/>
      <w:lvlJc w:val="left"/>
      <w:pPr>
        <w:ind w:left="4570" w:hanging="360"/>
      </w:pPr>
      <w:rPr>
        <w:rFonts w:ascii="Symbol" w:hAnsi="Symbol" w:hint="default"/>
      </w:rPr>
    </w:lvl>
    <w:lvl w:ilvl="7" w:tplc="04150003" w:tentative="1">
      <w:start w:val="1"/>
      <w:numFmt w:val="bullet"/>
      <w:lvlText w:val="o"/>
      <w:lvlJc w:val="left"/>
      <w:pPr>
        <w:ind w:left="5290" w:hanging="360"/>
      </w:pPr>
      <w:rPr>
        <w:rFonts w:ascii="Courier New" w:hAnsi="Courier New" w:cs="Courier New" w:hint="default"/>
      </w:rPr>
    </w:lvl>
    <w:lvl w:ilvl="8" w:tplc="04150005" w:tentative="1">
      <w:start w:val="1"/>
      <w:numFmt w:val="bullet"/>
      <w:lvlText w:val=""/>
      <w:lvlJc w:val="left"/>
      <w:pPr>
        <w:ind w:left="6010" w:hanging="360"/>
      </w:pPr>
      <w:rPr>
        <w:rFonts w:ascii="Wingdings" w:hAnsi="Wingdings" w:hint="default"/>
      </w:rPr>
    </w:lvl>
  </w:abstractNum>
  <w:abstractNum w:abstractNumId="8" w15:restartNumberingAfterBreak="0">
    <w:nsid w:val="43821191"/>
    <w:multiLevelType w:val="hybridMultilevel"/>
    <w:tmpl w:val="550C06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BE72ED3"/>
    <w:multiLevelType w:val="hybridMultilevel"/>
    <w:tmpl w:val="0EC2AE0E"/>
    <w:lvl w:ilvl="0" w:tplc="FFFFFFFF">
      <w:start w:val="1"/>
      <w:numFmt w:val="bullet"/>
      <w:lvlText w:val=""/>
      <w:lvlJc w:val="left"/>
      <w:pPr>
        <w:ind w:left="830" w:hanging="360"/>
      </w:pPr>
      <w:rPr>
        <w:rFonts w:ascii="Symbol" w:hAnsi="Symbol" w:hint="default"/>
      </w:rPr>
    </w:lvl>
    <w:lvl w:ilvl="1" w:tplc="E946D046">
      <w:numFmt w:val="bullet"/>
      <w:lvlText w:val="-"/>
      <w:lvlJc w:val="left"/>
      <w:pPr>
        <w:ind w:left="1898" w:hanging="708"/>
      </w:pPr>
      <w:rPr>
        <w:rFonts w:ascii="Calibri" w:eastAsiaTheme="minorHAnsi" w:hAnsi="Calibri" w:cs="Calibri"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10" w15:restartNumberingAfterBreak="0">
    <w:nsid w:val="50115B3E"/>
    <w:multiLevelType w:val="hybridMultilevel"/>
    <w:tmpl w:val="52AE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BE04D7"/>
    <w:multiLevelType w:val="hybridMultilevel"/>
    <w:tmpl w:val="01904F9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D827FCF"/>
    <w:multiLevelType w:val="multilevel"/>
    <w:tmpl w:val="1A5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46571"/>
    <w:multiLevelType w:val="hybridMultilevel"/>
    <w:tmpl w:val="99467E64"/>
    <w:lvl w:ilvl="0" w:tplc="C0D0738E">
      <w:start w:val="1"/>
      <w:numFmt w:val="decimal"/>
      <w:lvlText w:val="%1"/>
      <w:lvlJc w:val="left"/>
      <w:pPr>
        <w:ind w:left="709" w:hanging="709"/>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690DA4"/>
    <w:multiLevelType w:val="hybridMultilevel"/>
    <w:tmpl w:val="268A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E5186E"/>
    <w:multiLevelType w:val="hybridMultilevel"/>
    <w:tmpl w:val="BBA2EB7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8375072"/>
    <w:multiLevelType w:val="hybridMultilevel"/>
    <w:tmpl w:val="B5841A9E"/>
    <w:lvl w:ilvl="0" w:tplc="1188045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B56F08"/>
    <w:multiLevelType w:val="hybridMultilevel"/>
    <w:tmpl w:val="CD605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3160C9"/>
    <w:multiLevelType w:val="hybridMultilevel"/>
    <w:tmpl w:val="8D2E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5"/>
  </w:num>
  <w:num w:numId="5">
    <w:abstractNumId w:val="4"/>
  </w:num>
  <w:num w:numId="6">
    <w:abstractNumId w:val="11"/>
  </w:num>
  <w:num w:numId="7">
    <w:abstractNumId w:val="6"/>
  </w:num>
  <w:num w:numId="8">
    <w:abstractNumId w:val="5"/>
  </w:num>
  <w:num w:numId="9">
    <w:abstractNumId w:val="9"/>
  </w:num>
  <w:num w:numId="10">
    <w:abstractNumId w:val="17"/>
  </w:num>
  <w:num w:numId="11">
    <w:abstractNumId w:val="16"/>
  </w:num>
  <w:num w:numId="12">
    <w:abstractNumId w:val="18"/>
  </w:num>
  <w:num w:numId="13">
    <w:abstractNumId w:val="3"/>
  </w:num>
  <w:num w:numId="14">
    <w:abstractNumId w:val="7"/>
  </w:num>
  <w:num w:numId="15">
    <w:abstractNumId w:val="8"/>
  </w:num>
  <w:num w:numId="16">
    <w:abstractNumId w:val="0"/>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5A"/>
    <w:rsid w:val="000028B6"/>
    <w:rsid w:val="00011F26"/>
    <w:rsid w:val="0002512F"/>
    <w:rsid w:val="00051640"/>
    <w:rsid w:val="00052215"/>
    <w:rsid w:val="000930E3"/>
    <w:rsid w:val="000A114D"/>
    <w:rsid w:val="000B7776"/>
    <w:rsid w:val="000C152D"/>
    <w:rsid w:val="000C643A"/>
    <w:rsid w:val="000D42DE"/>
    <w:rsid w:val="000E35DD"/>
    <w:rsid w:val="000E421C"/>
    <w:rsid w:val="000E5D98"/>
    <w:rsid w:val="00107F59"/>
    <w:rsid w:val="00124A7F"/>
    <w:rsid w:val="00143429"/>
    <w:rsid w:val="00155AC2"/>
    <w:rsid w:val="00157652"/>
    <w:rsid w:val="00170833"/>
    <w:rsid w:val="00174A62"/>
    <w:rsid w:val="001D41AE"/>
    <w:rsid w:val="001D7DDC"/>
    <w:rsid w:val="001E3F53"/>
    <w:rsid w:val="001E7BF4"/>
    <w:rsid w:val="001F692C"/>
    <w:rsid w:val="002007AE"/>
    <w:rsid w:val="00210E01"/>
    <w:rsid w:val="0021309B"/>
    <w:rsid w:val="00224EF4"/>
    <w:rsid w:val="00233638"/>
    <w:rsid w:val="002351A4"/>
    <w:rsid w:val="00245B57"/>
    <w:rsid w:val="00254032"/>
    <w:rsid w:val="0025772C"/>
    <w:rsid w:val="002638C6"/>
    <w:rsid w:val="00296A8D"/>
    <w:rsid w:val="002A232E"/>
    <w:rsid w:val="002A7315"/>
    <w:rsid w:val="002B1129"/>
    <w:rsid w:val="002B60DF"/>
    <w:rsid w:val="002C313A"/>
    <w:rsid w:val="002C6A3F"/>
    <w:rsid w:val="002D6214"/>
    <w:rsid w:val="002F5994"/>
    <w:rsid w:val="00304DB0"/>
    <w:rsid w:val="00317199"/>
    <w:rsid w:val="0032477E"/>
    <w:rsid w:val="003323BD"/>
    <w:rsid w:val="00355EE2"/>
    <w:rsid w:val="00366A6A"/>
    <w:rsid w:val="00393DC5"/>
    <w:rsid w:val="003A27F9"/>
    <w:rsid w:val="003A63BF"/>
    <w:rsid w:val="00402271"/>
    <w:rsid w:val="00445C75"/>
    <w:rsid w:val="0045362C"/>
    <w:rsid w:val="0048615F"/>
    <w:rsid w:val="0049237E"/>
    <w:rsid w:val="004A6F10"/>
    <w:rsid w:val="004B1F2A"/>
    <w:rsid w:val="004B2980"/>
    <w:rsid w:val="004B503E"/>
    <w:rsid w:val="004D2C7E"/>
    <w:rsid w:val="004D486A"/>
    <w:rsid w:val="00503CA7"/>
    <w:rsid w:val="00505081"/>
    <w:rsid w:val="00505555"/>
    <w:rsid w:val="00516E47"/>
    <w:rsid w:val="00533449"/>
    <w:rsid w:val="00556294"/>
    <w:rsid w:val="00590916"/>
    <w:rsid w:val="00592E2F"/>
    <w:rsid w:val="005943DD"/>
    <w:rsid w:val="00597FF2"/>
    <w:rsid w:val="005A74E2"/>
    <w:rsid w:val="005B0C9C"/>
    <w:rsid w:val="005E2134"/>
    <w:rsid w:val="005E54E5"/>
    <w:rsid w:val="005E68E5"/>
    <w:rsid w:val="00603AD1"/>
    <w:rsid w:val="00652C0F"/>
    <w:rsid w:val="00673EAD"/>
    <w:rsid w:val="00675F1A"/>
    <w:rsid w:val="00693ED3"/>
    <w:rsid w:val="006956BD"/>
    <w:rsid w:val="00695913"/>
    <w:rsid w:val="006E26A3"/>
    <w:rsid w:val="006E27E2"/>
    <w:rsid w:val="006F4792"/>
    <w:rsid w:val="006F5A9B"/>
    <w:rsid w:val="007135BF"/>
    <w:rsid w:val="00723781"/>
    <w:rsid w:val="00770795"/>
    <w:rsid w:val="00771A31"/>
    <w:rsid w:val="00772E39"/>
    <w:rsid w:val="00772F52"/>
    <w:rsid w:val="00777BA0"/>
    <w:rsid w:val="00792B35"/>
    <w:rsid w:val="007B2F7C"/>
    <w:rsid w:val="007D6E7F"/>
    <w:rsid w:val="007E5A67"/>
    <w:rsid w:val="007F7F89"/>
    <w:rsid w:val="00823B98"/>
    <w:rsid w:val="00837CAF"/>
    <w:rsid w:val="00857ADA"/>
    <w:rsid w:val="00871AB3"/>
    <w:rsid w:val="00881C10"/>
    <w:rsid w:val="008860A1"/>
    <w:rsid w:val="00893151"/>
    <w:rsid w:val="008A10D7"/>
    <w:rsid w:val="008B3C1B"/>
    <w:rsid w:val="008B7693"/>
    <w:rsid w:val="008E7CC9"/>
    <w:rsid w:val="008F2046"/>
    <w:rsid w:val="009038EB"/>
    <w:rsid w:val="00913A0A"/>
    <w:rsid w:val="00953EC7"/>
    <w:rsid w:val="00956439"/>
    <w:rsid w:val="0097203D"/>
    <w:rsid w:val="0099322F"/>
    <w:rsid w:val="0099388F"/>
    <w:rsid w:val="009A0522"/>
    <w:rsid w:val="009A28CA"/>
    <w:rsid w:val="009A698C"/>
    <w:rsid w:val="009B0DF7"/>
    <w:rsid w:val="009B5B20"/>
    <w:rsid w:val="009E0C9A"/>
    <w:rsid w:val="009F70F5"/>
    <w:rsid w:val="00A0327F"/>
    <w:rsid w:val="00A06454"/>
    <w:rsid w:val="00A333B1"/>
    <w:rsid w:val="00A344C8"/>
    <w:rsid w:val="00A3603C"/>
    <w:rsid w:val="00A54C25"/>
    <w:rsid w:val="00A61A1A"/>
    <w:rsid w:val="00A75385"/>
    <w:rsid w:val="00A80636"/>
    <w:rsid w:val="00A820C1"/>
    <w:rsid w:val="00A82E5C"/>
    <w:rsid w:val="00AA6487"/>
    <w:rsid w:val="00AA655E"/>
    <w:rsid w:val="00AC1D83"/>
    <w:rsid w:val="00AC3028"/>
    <w:rsid w:val="00AD4115"/>
    <w:rsid w:val="00AE3BE1"/>
    <w:rsid w:val="00B11175"/>
    <w:rsid w:val="00B41E05"/>
    <w:rsid w:val="00B64AF1"/>
    <w:rsid w:val="00B837D3"/>
    <w:rsid w:val="00BD350E"/>
    <w:rsid w:val="00C03027"/>
    <w:rsid w:val="00C102D0"/>
    <w:rsid w:val="00C239F8"/>
    <w:rsid w:val="00C771F5"/>
    <w:rsid w:val="00C85203"/>
    <w:rsid w:val="00CB02B3"/>
    <w:rsid w:val="00CB0D42"/>
    <w:rsid w:val="00CB7218"/>
    <w:rsid w:val="00CC4182"/>
    <w:rsid w:val="00CD170A"/>
    <w:rsid w:val="00CE3422"/>
    <w:rsid w:val="00CF7B49"/>
    <w:rsid w:val="00D22C85"/>
    <w:rsid w:val="00D240BF"/>
    <w:rsid w:val="00D42FD2"/>
    <w:rsid w:val="00D44B38"/>
    <w:rsid w:val="00D52787"/>
    <w:rsid w:val="00D57FB3"/>
    <w:rsid w:val="00D60C5E"/>
    <w:rsid w:val="00D64743"/>
    <w:rsid w:val="00D94FAE"/>
    <w:rsid w:val="00DB4EC6"/>
    <w:rsid w:val="00DB6128"/>
    <w:rsid w:val="00DC215A"/>
    <w:rsid w:val="00DE1533"/>
    <w:rsid w:val="00DE1707"/>
    <w:rsid w:val="00DE57FB"/>
    <w:rsid w:val="00DE7930"/>
    <w:rsid w:val="00DF06D0"/>
    <w:rsid w:val="00E21945"/>
    <w:rsid w:val="00E3463E"/>
    <w:rsid w:val="00E349AF"/>
    <w:rsid w:val="00E35988"/>
    <w:rsid w:val="00E37E16"/>
    <w:rsid w:val="00E410DC"/>
    <w:rsid w:val="00E53B40"/>
    <w:rsid w:val="00E613B0"/>
    <w:rsid w:val="00E73AA6"/>
    <w:rsid w:val="00E73CD9"/>
    <w:rsid w:val="00E75775"/>
    <w:rsid w:val="00E848D4"/>
    <w:rsid w:val="00EC65D2"/>
    <w:rsid w:val="00ED3A30"/>
    <w:rsid w:val="00ED7AD4"/>
    <w:rsid w:val="00EE5FBF"/>
    <w:rsid w:val="00EF60A2"/>
    <w:rsid w:val="00EF6F00"/>
    <w:rsid w:val="00F3130A"/>
    <w:rsid w:val="00F40C52"/>
    <w:rsid w:val="00F65F6F"/>
    <w:rsid w:val="00F82472"/>
    <w:rsid w:val="00FB0623"/>
    <w:rsid w:val="00FC3472"/>
    <w:rsid w:val="00FD2DBC"/>
    <w:rsid w:val="00FE2CDE"/>
    <w:rsid w:val="00FE4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BE39"/>
  <w15:docId w15:val="{75CF647E-95FD-4DCE-90F5-5EC7063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215A"/>
    <w:pPr>
      <w:ind w:left="720"/>
      <w:contextualSpacing/>
    </w:pPr>
  </w:style>
  <w:style w:type="character" w:styleId="Hipercze">
    <w:name w:val="Hyperlink"/>
    <w:basedOn w:val="Domylnaczcionkaakapitu"/>
    <w:uiPriority w:val="99"/>
    <w:unhideWhenUsed/>
    <w:rsid w:val="00ED3A30"/>
    <w:rPr>
      <w:color w:val="0563C1" w:themeColor="hyperlink"/>
      <w:u w:val="single"/>
    </w:rPr>
  </w:style>
  <w:style w:type="character" w:customStyle="1" w:styleId="Nierozpoznanawzmianka1">
    <w:name w:val="Nierozpoznana wzmianka1"/>
    <w:basedOn w:val="Domylnaczcionkaakapitu"/>
    <w:uiPriority w:val="99"/>
    <w:semiHidden/>
    <w:unhideWhenUsed/>
    <w:rsid w:val="00ED3A30"/>
    <w:rPr>
      <w:color w:val="605E5C"/>
      <w:shd w:val="clear" w:color="auto" w:fill="E1DFDD"/>
    </w:rPr>
  </w:style>
  <w:style w:type="character" w:styleId="UyteHipercze">
    <w:name w:val="FollowedHyperlink"/>
    <w:basedOn w:val="Domylnaczcionkaakapitu"/>
    <w:uiPriority w:val="99"/>
    <w:semiHidden/>
    <w:unhideWhenUsed/>
    <w:rsid w:val="00FC3472"/>
    <w:rPr>
      <w:color w:val="954F72" w:themeColor="followedHyperlink"/>
      <w:u w:val="single"/>
    </w:rPr>
  </w:style>
  <w:style w:type="table" w:styleId="Tabela-Siatka">
    <w:name w:val="Table Grid"/>
    <w:basedOn w:val="Standardowy"/>
    <w:uiPriority w:val="59"/>
    <w:rsid w:val="00DE17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16E47"/>
    <w:rPr>
      <w:sz w:val="16"/>
      <w:szCs w:val="16"/>
    </w:rPr>
  </w:style>
  <w:style w:type="paragraph" w:styleId="Tekstkomentarza">
    <w:name w:val="annotation text"/>
    <w:basedOn w:val="Normalny"/>
    <w:link w:val="TekstkomentarzaZnak"/>
    <w:uiPriority w:val="99"/>
    <w:semiHidden/>
    <w:unhideWhenUsed/>
    <w:rsid w:val="00516E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6E47"/>
    <w:rPr>
      <w:noProof/>
      <w:sz w:val="20"/>
      <w:szCs w:val="20"/>
    </w:rPr>
  </w:style>
  <w:style w:type="paragraph" w:styleId="Tematkomentarza">
    <w:name w:val="annotation subject"/>
    <w:basedOn w:val="Tekstkomentarza"/>
    <w:next w:val="Tekstkomentarza"/>
    <w:link w:val="TematkomentarzaZnak"/>
    <w:uiPriority w:val="99"/>
    <w:semiHidden/>
    <w:unhideWhenUsed/>
    <w:rsid w:val="00516E47"/>
    <w:rPr>
      <w:b/>
      <w:bCs/>
    </w:rPr>
  </w:style>
  <w:style w:type="character" w:customStyle="1" w:styleId="TematkomentarzaZnak">
    <w:name w:val="Temat komentarza Znak"/>
    <w:basedOn w:val="TekstkomentarzaZnak"/>
    <w:link w:val="Tematkomentarza"/>
    <w:uiPriority w:val="99"/>
    <w:semiHidden/>
    <w:rsid w:val="00516E47"/>
    <w:rPr>
      <w:b/>
      <w:bCs/>
      <w:noProof/>
      <w:sz w:val="20"/>
      <w:szCs w:val="20"/>
    </w:rPr>
  </w:style>
  <w:style w:type="paragraph" w:styleId="Tekstdymka">
    <w:name w:val="Balloon Text"/>
    <w:basedOn w:val="Normalny"/>
    <w:link w:val="TekstdymkaZnak"/>
    <w:uiPriority w:val="99"/>
    <w:semiHidden/>
    <w:unhideWhenUsed/>
    <w:rsid w:val="00D22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C85"/>
    <w:rPr>
      <w:rFonts w:ascii="Tahoma" w:hAnsi="Tahoma" w:cs="Tahoma"/>
      <w:noProof/>
      <w:sz w:val="16"/>
      <w:szCs w:val="16"/>
    </w:rPr>
  </w:style>
  <w:style w:type="paragraph" w:styleId="Poprawka">
    <w:name w:val="Revision"/>
    <w:hidden/>
    <w:uiPriority w:val="99"/>
    <w:semiHidden/>
    <w:rsid w:val="00CD170A"/>
    <w:pPr>
      <w:spacing w:after="0" w:line="240" w:lineRule="auto"/>
    </w:pPr>
    <w:rPr>
      <w:noProof/>
    </w:rPr>
  </w:style>
  <w:style w:type="character" w:customStyle="1" w:styleId="Nierozpoznanawzmianka2">
    <w:name w:val="Nierozpoznana wzmianka2"/>
    <w:basedOn w:val="Domylnaczcionkaakapitu"/>
    <w:uiPriority w:val="99"/>
    <w:semiHidden/>
    <w:unhideWhenUsed/>
    <w:rsid w:val="000C643A"/>
    <w:rPr>
      <w:color w:val="605E5C"/>
      <w:shd w:val="clear" w:color="auto" w:fill="E1DFDD"/>
    </w:rPr>
  </w:style>
  <w:style w:type="paragraph" w:styleId="NormalnyWeb">
    <w:name w:val="Normal (Web)"/>
    <w:basedOn w:val="Normalny"/>
    <w:uiPriority w:val="99"/>
    <w:semiHidden/>
    <w:unhideWhenUsed/>
    <w:rsid w:val="00170833"/>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docsum-authors">
    <w:name w:val="docsum-authors"/>
    <w:basedOn w:val="Domylnaczcionkaakapitu"/>
    <w:rsid w:val="00170833"/>
  </w:style>
  <w:style w:type="character" w:customStyle="1" w:styleId="docsum-journal-citation">
    <w:name w:val="docsum-journal-citation"/>
    <w:basedOn w:val="Domylnaczcionkaakapitu"/>
    <w:rsid w:val="0017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7966">
      <w:bodyDiv w:val="1"/>
      <w:marLeft w:val="0"/>
      <w:marRight w:val="0"/>
      <w:marTop w:val="0"/>
      <w:marBottom w:val="0"/>
      <w:divBdr>
        <w:top w:val="none" w:sz="0" w:space="0" w:color="auto"/>
        <w:left w:val="none" w:sz="0" w:space="0" w:color="auto"/>
        <w:bottom w:val="none" w:sz="0" w:space="0" w:color="auto"/>
        <w:right w:val="none" w:sz="0" w:space="0" w:color="auto"/>
      </w:divBdr>
      <w:divsChild>
        <w:div w:id="897401421">
          <w:marLeft w:val="0"/>
          <w:marRight w:val="0"/>
          <w:marTop w:val="0"/>
          <w:marBottom w:val="0"/>
          <w:divBdr>
            <w:top w:val="none" w:sz="0" w:space="0" w:color="auto"/>
            <w:left w:val="none" w:sz="0" w:space="0" w:color="auto"/>
            <w:bottom w:val="none" w:sz="0" w:space="0" w:color="auto"/>
            <w:right w:val="none" w:sz="0" w:space="0" w:color="auto"/>
          </w:divBdr>
          <w:divsChild>
            <w:div w:id="1581022308">
              <w:marLeft w:val="0"/>
              <w:marRight w:val="0"/>
              <w:marTop w:val="0"/>
              <w:marBottom w:val="0"/>
              <w:divBdr>
                <w:top w:val="none" w:sz="0" w:space="0" w:color="auto"/>
                <w:left w:val="none" w:sz="0" w:space="0" w:color="auto"/>
                <w:bottom w:val="none" w:sz="0" w:space="0" w:color="auto"/>
                <w:right w:val="none" w:sz="0" w:space="0" w:color="auto"/>
              </w:divBdr>
              <w:divsChild>
                <w:div w:id="353383305">
                  <w:marLeft w:val="0"/>
                  <w:marRight w:val="0"/>
                  <w:marTop w:val="0"/>
                  <w:marBottom w:val="0"/>
                  <w:divBdr>
                    <w:top w:val="none" w:sz="0" w:space="0" w:color="auto"/>
                    <w:left w:val="none" w:sz="0" w:space="0" w:color="auto"/>
                    <w:bottom w:val="none" w:sz="0" w:space="0" w:color="auto"/>
                    <w:right w:val="none" w:sz="0" w:space="0" w:color="auto"/>
                  </w:divBdr>
                </w:div>
                <w:div w:id="9049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885">
          <w:marLeft w:val="240"/>
          <w:marRight w:val="0"/>
          <w:marTop w:val="0"/>
          <w:marBottom w:val="0"/>
          <w:divBdr>
            <w:top w:val="none" w:sz="0" w:space="0" w:color="auto"/>
            <w:left w:val="none" w:sz="0" w:space="0" w:color="auto"/>
            <w:bottom w:val="none" w:sz="0" w:space="0" w:color="auto"/>
            <w:right w:val="none" w:sz="0" w:space="0" w:color="auto"/>
          </w:divBdr>
          <w:divsChild>
            <w:div w:id="823857890">
              <w:marLeft w:val="0"/>
              <w:marRight w:val="0"/>
              <w:marTop w:val="0"/>
              <w:marBottom w:val="0"/>
              <w:divBdr>
                <w:top w:val="none" w:sz="0" w:space="0" w:color="auto"/>
                <w:left w:val="none" w:sz="0" w:space="0" w:color="auto"/>
                <w:bottom w:val="none" w:sz="0" w:space="0" w:color="auto"/>
                <w:right w:val="none" w:sz="0" w:space="0" w:color="auto"/>
              </w:divBdr>
            </w:div>
            <w:div w:id="1691830425">
              <w:marLeft w:val="0"/>
              <w:marRight w:val="0"/>
              <w:marTop w:val="0"/>
              <w:marBottom w:val="0"/>
              <w:divBdr>
                <w:top w:val="none" w:sz="0" w:space="0" w:color="auto"/>
                <w:left w:val="none" w:sz="0" w:space="0" w:color="auto"/>
                <w:bottom w:val="none" w:sz="0" w:space="0" w:color="auto"/>
                <w:right w:val="none" w:sz="0" w:space="0" w:color="auto"/>
              </w:divBdr>
            </w:div>
          </w:divsChild>
        </w:div>
        <w:div w:id="1263150667">
          <w:marLeft w:val="0"/>
          <w:marRight w:val="0"/>
          <w:marTop w:val="166"/>
          <w:marBottom w:val="166"/>
          <w:divBdr>
            <w:top w:val="none" w:sz="0" w:space="0" w:color="auto"/>
            <w:left w:val="none" w:sz="0" w:space="0" w:color="auto"/>
            <w:bottom w:val="none" w:sz="0" w:space="0" w:color="auto"/>
            <w:right w:val="none" w:sz="0" w:space="0" w:color="auto"/>
          </w:divBdr>
          <w:divsChild>
            <w:div w:id="14825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153">
      <w:bodyDiv w:val="1"/>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20299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5549">
      <w:bodyDiv w:val="1"/>
      <w:marLeft w:val="0"/>
      <w:marRight w:val="0"/>
      <w:marTop w:val="0"/>
      <w:marBottom w:val="0"/>
      <w:divBdr>
        <w:top w:val="none" w:sz="0" w:space="0" w:color="auto"/>
        <w:left w:val="none" w:sz="0" w:space="0" w:color="auto"/>
        <w:bottom w:val="none" w:sz="0" w:space="0" w:color="auto"/>
        <w:right w:val="none" w:sz="0" w:space="0" w:color="auto"/>
      </w:divBdr>
      <w:divsChild>
        <w:div w:id="1837377867">
          <w:marLeft w:val="0"/>
          <w:marRight w:val="0"/>
          <w:marTop w:val="0"/>
          <w:marBottom w:val="0"/>
          <w:divBdr>
            <w:top w:val="none" w:sz="0" w:space="0" w:color="auto"/>
            <w:left w:val="none" w:sz="0" w:space="0" w:color="auto"/>
            <w:bottom w:val="none" w:sz="0" w:space="0" w:color="auto"/>
            <w:right w:val="none" w:sz="0" w:space="0" w:color="auto"/>
          </w:divBdr>
          <w:divsChild>
            <w:div w:id="379209102">
              <w:marLeft w:val="0"/>
              <w:marRight w:val="0"/>
              <w:marTop w:val="0"/>
              <w:marBottom w:val="0"/>
              <w:divBdr>
                <w:top w:val="none" w:sz="0" w:space="0" w:color="auto"/>
                <w:left w:val="none" w:sz="0" w:space="0" w:color="auto"/>
                <w:bottom w:val="none" w:sz="0" w:space="0" w:color="auto"/>
                <w:right w:val="none" w:sz="0" w:space="0" w:color="auto"/>
              </w:divBdr>
              <w:divsChild>
                <w:div w:id="805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568">
      <w:bodyDiv w:val="1"/>
      <w:marLeft w:val="0"/>
      <w:marRight w:val="0"/>
      <w:marTop w:val="0"/>
      <w:marBottom w:val="0"/>
      <w:divBdr>
        <w:top w:val="none" w:sz="0" w:space="0" w:color="auto"/>
        <w:left w:val="none" w:sz="0" w:space="0" w:color="auto"/>
        <w:bottom w:val="none" w:sz="0" w:space="0" w:color="auto"/>
        <w:right w:val="none" w:sz="0" w:space="0" w:color="auto"/>
      </w:divBdr>
    </w:div>
    <w:div w:id="1539001261">
      <w:bodyDiv w:val="1"/>
      <w:marLeft w:val="0"/>
      <w:marRight w:val="0"/>
      <w:marTop w:val="0"/>
      <w:marBottom w:val="0"/>
      <w:divBdr>
        <w:top w:val="none" w:sz="0" w:space="0" w:color="auto"/>
        <w:left w:val="none" w:sz="0" w:space="0" w:color="auto"/>
        <w:bottom w:val="none" w:sz="0" w:space="0" w:color="auto"/>
        <w:right w:val="none" w:sz="0" w:space="0" w:color="auto"/>
      </w:divBdr>
    </w:div>
    <w:div w:id="1708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3CDB-2DD9-44CE-9423-A718FDAC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7750</Words>
  <Characters>46504</Characters>
  <Application>Microsoft Office Word</Application>
  <DocSecurity>0</DocSecurity>
  <Lines>387</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Flisiak</cp:lastModifiedBy>
  <cp:revision>4</cp:revision>
  <dcterms:created xsi:type="dcterms:W3CDTF">2021-04-25T18:35:00Z</dcterms:created>
  <dcterms:modified xsi:type="dcterms:W3CDTF">2021-04-25T19:11:00Z</dcterms:modified>
</cp:coreProperties>
</file>